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1F" w:rsidRDefault="00A53D1F"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A53D1F" w:rsidRDefault="00A53D1F"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A53D1F" w:rsidRDefault="00A53D1F"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JUST mosópor</w:t>
      </w:r>
    </w:p>
    <w:p w:rsidR="00A53D1F" w:rsidRDefault="00A53D1F"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sidRPr="00623045">
        <w:rPr>
          <w:rFonts w:ascii="Tahoma" w:hAnsi="Tahoma" w:cs="Simplified Arabic Fixed"/>
          <w:snapToGrid w:val="0"/>
        </w:rPr>
        <w:t>mosószer, tisztítószer</w:t>
      </w:r>
    </w:p>
    <w:p w:rsidR="00A53D1F" w:rsidRPr="00623045" w:rsidRDefault="00A53D1F"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A53D1F" w:rsidRDefault="00A53D1F"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A53D1F" w:rsidRPr="0008511E" w:rsidRDefault="00A53D1F"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A53D1F" w:rsidRPr="0008511E" w:rsidRDefault="00A53D1F" w:rsidP="005C50EE">
      <w:pPr>
        <w:tabs>
          <w:tab w:val="left" w:pos="1985"/>
        </w:tabs>
        <w:ind w:left="426"/>
        <w:rPr>
          <w:rFonts w:ascii="Tahoma" w:hAnsi="Tahoma" w:cs="Tahoma"/>
        </w:rPr>
      </w:pPr>
      <w:r w:rsidRPr="0008511E">
        <w:rPr>
          <w:rFonts w:ascii="Tahoma" w:hAnsi="Tahoma" w:cs="Tahoma"/>
        </w:rPr>
        <w:t>H-3333 Terpes, Petőfi út 2 – 4.</w:t>
      </w:r>
    </w:p>
    <w:p w:rsidR="00A53D1F" w:rsidRDefault="00A53D1F"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53D1F" w:rsidRPr="0008511E" w:rsidRDefault="00A53D1F" w:rsidP="005C50EE">
      <w:pPr>
        <w:tabs>
          <w:tab w:val="left" w:pos="1985"/>
        </w:tabs>
        <w:ind w:left="426"/>
        <w:rPr>
          <w:rFonts w:ascii="Tahoma" w:hAnsi="Tahoma" w:cs="Tahoma"/>
        </w:rPr>
      </w:pPr>
      <w:r>
        <w:rPr>
          <w:rFonts w:ascii="Tahoma" w:hAnsi="Tahoma" w:cs="Tahoma"/>
        </w:rPr>
        <w:t>honlap: www.gironde.hu</w:t>
      </w:r>
    </w:p>
    <w:p w:rsidR="00A53D1F" w:rsidRDefault="00A53D1F"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girone@t-online.hu</w:t>
      </w:r>
    </w:p>
    <w:p w:rsidR="00A53D1F" w:rsidRPr="004D5835" w:rsidRDefault="00A53D1F"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A53D1F" w:rsidRDefault="00A53D1F"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53D1F" w:rsidRDefault="00A53D1F"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A53D1F" w:rsidRDefault="00A53D1F"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A53D1F" w:rsidRPr="00E43E30" w:rsidRDefault="00A53D1F"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A53D1F" w:rsidRDefault="00A53D1F"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A53D1F" w:rsidRDefault="00A53D1F"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piktogram: </w:t>
      </w:r>
      <w:r>
        <w:rPr>
          <w:rFonts w:ascii="Tahoma" w:hAnsi="Tahoma"/>
          <w:snapToGrid w:val="0"/>
        </w:rPr>
        <w:t>nincs; Figyelmeztetés: nincs</w:t>
      </w:r>
    </w:p>
    <w:p w:rsidR="00A53D1F" w:rsidRPr="00BD425C" w:rsidRDefault="00A53D1F"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p>
    <w:p w:rsidR="00A53D1F" w:rsidRPr="00BD425C" w:rsidRDefault="00A53D1F" w:rsidP="007777B8">
      <w:pPr>
        <w:tabs>
          <w:tab w:val="left" w:pos="567"/>
          <w:tab w:val="left" w:pos="742"/>
          <w:tab w:val="left" w:pos="1418"/>
          <w:tab w:val="left" w:pos="4395"/>
        </w:tabs>
        <w:spacing w:before="40"/>
        <w:ind w:firstLine="425"/>
        <w:jc w:val="both"/>
        <w:rPr>
          <w:rFonts w:ascii="Tahoma" w:hAnsi="Tahoma"/>
          <w:b/>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sidRPr="00623045">
        <w:rPr>
          <w:rFonts w:ascii="Tahoma" w:hAnsi="Tahoma" w:cs="Tahoma"/>
          <w:snapToGrid w:val="0"/>
        </w:rPr>
        <w:t xml:space="preserve"> </w:t>
      </w:r>
      <w:r w:rsidRPr="004A05D4">
        <w:rPr>
          <w:rFonts w:ascii="Tahoma" w:hAnsi="Tahoma" w:cs="Tahoma"/>
          <w:snapToGrid w:val="0"/>
        </w:rPr>
        <w:t>P1</w:t>
      </w:r>
      <w:r w:rsidRPr="00AC1515">
        <w:rPr>
          <w:rFonts w:ascii="Tahoma" w:hAnsi="Tahoma" w:cs="Tahoma"/>
          <w:snapToGrid w:val="0"/>
        </w:rPr>
        <w:t>02</w:t>
      </w:r>
      <w:r w:rsidRPr="00AC1515">
        <w:rPr>
          <w:rFonts w:ascii="Tahoma" w:hAnsi="Tahoma" w:cs="Tahoma"/>
          <w:snapToGrid w:val="0"/>
        </w:rPr>
        <w:tab/>
        <w:t>Gyermekektől elzárva tartandó</w:t>
      </w:r>
      <w:r>
        <w:rPr>
          <w:rFonts w:ascii="Tahoma" w:hAnsi="Tahoma" w:cs="Tahoma"/>
          <w:snapToGrid w:val="0"/>
        </w:rPr>
        <w:t>.</w:t>
      </w:r>
    </w:p>
    <w:p w:rsidR="00A53D1F" w:rsidRDefault="00A53D1F" w:rsidP="00C124FE">
      <w:pPr>
        <w:spacing w:before="120"/>
        <w:jc w:val="both"/>
        <w:rPr>
          <w:rFonts w:ascii="Tahoma" w:hAnsi="Tahoma"/>
          <w:b/>
          <w:snapToGrid w:val="0"/>
        </w:rPr>
      </w:pPr>
      <w:r w:rsidRPr="003B0269">
        <w:rPr>
          <w:rFonts w:ascii="Tahoma" w:hAnsi="Tahoma"/>
          <w:b/>
          <w:snapToGrid w:val="0"/>
        </w:rPr>
        <w:t xml:space="preserve">2.3. Egyéb </w:t>
      </w:r>
      <w:r>
        <w:rPr>
          <w:rFonts w:ascii="Tahoma" w:hAnsi="Tahoma"/>
          <w:b/>
          <w:snapToGrid w:val="0"/>
        </w:rPr>
        <w:t>információ</w:t>
      </w:r>
      <w:bookmarkEnd w:id="0"/>
    </w:p>
    <w:p w:rsidR="00A53D1F" w:rsidRPr="00623045" w:rsidRDefault="00A53D1F" w:rsidP="00623045">
      <w:pPr>
        <w:jc w:val="both"/>
        <w:rPr>
          <w:rFonts w:ascii="Tahoma" w:hAnsi="Tahoma"/>
          <w:snapToGrid w:val="0"/>
        </w:rPr>
      </w:pPr>
      <w:r w:rsidRPr="00E65D49">
        <w:rPr>
          <w:rFonts w:ascii="Tahoma" w:hAnsi="Tahoma"/>
          <w:snapToGrid w:val="0"/>
        </w:rPr>
        <w:t xml:space="preserve">A termékkel történő expozíció lehetséges tünetei: </w:t>
      </w:r>
      <w:r>
        <w:rPr>
          <w:rFonts w:ascii="Tahoma" w:hAnsi="Tahoma"/>
          <w:snapToGrid w:val="0"/>
        </w:rPr>
        <w:t>s</w:t>
      </w:r>
      <w:r w:rsidRPr="00623045">
        <w:rPr>
          <w:rFonts w:ascii="Tahoma" w:hAnsi="Tahoma"/>
          <w:snapToGrid w:val="0"/>
        </w:rPr>
        <w:t xml:space="preserve">zembe jutva irritálhat, </w:t>
      </w:r>
      <w:r>
        <w:rPr>
          <w:rFonts w:ascii="Tahoma" w:hAnsi="Tahoma"/>
          <w:snapToGrid w:val="0"/>
        </w:rPr>
        <w:t>t</w:t>
      </w:r>
      <w:r w:rsidRPr="00623045">
        <w:rPr>
          <w:rFonts w:ascii="Tahoma" w:hAnsi="Tahoma"/>
          <w:snapToGrid w:val="0"/>
        </w:rPr>
        <w:t>artós érintkezés esetén bőrirritációt okozhat. Lenyelve gyenge gyomor-bélrendszeri irritáció, hányinger és hányás léphet fel. Porának belégzése a légző</w:t>
      </w:r>
      <w:r>
        <w:rPr>
          <w:rFonts w:ascii="Tahoma" w:hAnsi="Tahoma"/>
          <w:snapToGrid w:val="0"/>
        </w:rPr>
        <w:t xml:space="preserve"> </w:t>
      </w:r>
      <w:r w:rsidRPr="00623045">
        <w:rPr>
          <w:rFonts w:ascii="Tahoma" w:hAnsi="Tahoma"/>
          <w:snapToGrid w:val="0"/>
        </w:rPr>
        <w:t>rendszer</w:t>
      </w:r>
      <w:r>
        <w:rPr>
          <w:rFonts w:ascii="Tahoma" w:hAnsi="Tahoma"/>
          <w:snapToGrid w:val="0"/>
        </w:rPr>
        <w:t>t</w:t>
      </w:r>
      <w:r w:rsidRPr="00623045">
        <w:rPr>
          <w:rFonts w:ascii="Tahoma" w:hAnsi="Tahoma"/>
          <w:snapToGrid w:val="0"/>
        </w:rPr>
        <w:t xml:space="preserve"> </w:t>
      </w:r>
      <w:r>
        <w:rPr>
          <w:rFonts w:ascii="Tahoma" w:hAnsi="Tahoma"/>
          <w:snapToGrid w:val="0"/>
        </w:rPr>
        <w:t>kis mértékben izgathatja.</w:t>
      </w:r>
    </w:p>
    <w:p w:rsidR="00A53D1F" w:rsidRDefault="00A53D1F" w:rsidP="00623045">
      <w:pPr>
        <w:spacing w:before="6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A53D1F" w:rsidRDefault="00A53D1F" w:rsidP="0021392C">
      <w:pPr>
        <w:spacing w:after="120"/>
        <w:ind w:left="1276" w:hanging="1276"/>
        <w:jc w:val="both"/>
        <w:rPr>
          <w:rFonts w:ascii="Tahoma" w:hAnsi="Tahoma" w:cs="Tahoma"/>
          <w:snapToGrid w:val="0"/>
          <w:sz w:val="18"/>
          <w:szCs w:val="18"/>
        </w:rPr>
      </w:pPr>
      <w:r>
        <w:rPr>
          <w:rFonts w:ascii="Tahoma" w:hAnsi="Tahoma" w:cs="Tahoma"/>
          <w:b/>
          <w:snapToGrid w:val="0"/>
        </w:rPr>
        <w:t>3.1. K</w:t>
      </w:r>
      <w:r w:rsidRPr="00BE081B">
        <w:rPr>
          <w:rFonts w:ascii="Tahoma" w:hAnsi="Tahoma" w:cs="Tahoma"/>
          <w:b/>
          <w:snapToGrid w:val="0"/>
        </w:rPr>
        <w:t>émiai jelleg:</w:t>
      </w:r>
      <w:r>
        <w:rPr>
          <w:rFonts w:ascii="Tahoma" w:hAnsi="Tahoma" w:cs="Tahoma"/>
          <w:b/>
          <w:snapToGrid w:val="0"/>
        </w:rPr>
        <w:t xml:space="preserve"> </w:t>
      </w:r>
      <w:r>
        <w:rPr>
          <w:rFonts w:ascii="Tahoma" w:hAnsi="Tahoma" w:cs="Tahoma"/>
          <w:snapToGrid w:val="0"/>
        </w:rPr>
        <w:t>szilárd por, keverék.</w:t>
      </w:r>
    </w:p>
    <w:tbl>
      <w:tblPr>
        <w:tblW w:w="8618"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60"/>
        <w:gridCol w:w="1418"/>
        <w:gridCol w:w="708"/>
        <w:gridCol w:w="3032"/>
      </w:tblGrid>
      <w:tr w:rsidR="00A53D1F" w:rsidRPr="00501707" w:rsidTr="00964C6F">
        <w:trPr>
          <w:cantSplit/>
          <w:trHeight w:val="335"/>
          <w:jc w:val="center"/>
        </w:trPr>
        <w:tc>
          <w:tcPr>
            <w:tcW w:w="3460" w:type="dxa"/>
            <w:vAlign w:val="center"/>
          </w:tcPr>
          <w:p w:rsidR="00A53D1F" w:rsidRPr="00501707" w:rsidRDefault="00A53D1F" w:rsidP="0068433E">
            <w:pPr>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A53D1F" w:rsidRPr="00501707" w:rsidRDefault="00A53D1F" w:rsidP="0068433E">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gridSpan w:val="2"/>
            <w:vAlign w:val="center"/>
          </w:tcPr>
          <w:p w:rsidR="00A53D1F" w:rsidRPr="00501707" w:rsidRDefault="00A53D1F" w:rsidP="0068433E">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A53D1F" w:rsidRPr="00501707" w:rsidRDefault="00A53D1F" w:rsidP="00E65D49">
            <w:pPr>
              <w:spacing w:before="80"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A53D1F" w:rsidRPr="00501707" w:rsidTr="00E65D49">
        <w:trPr>
          <w:cantSplit/>
          <w:trHeight w:val="633"/>
          <w:jc w:val="center"/>
        </w:trPr>
        <w:tc>
          <w:tcPr>
            <w:tcW w:w="3460" w:type="dxa"/>
            <w:vMerge w:val="restart"/>
            <w:vAlign w:val="center"/>
          </w:tcPr>
          <w:p w:rsidR="00A53D1F" w:rsidRPr="005F482D" w:rsidRDefault="00A53D1F" w:rsidP="0068433E">
            <w:pPr>
              <w:spacing w:before="40"/>
              <w:ind w:left="204"/>
              <w:jc w:val="both"/>
              <w:rPr>
                <w:rFonts w:ascii="Tahoma" w:hAnsi="Tahoma" w:cs="Tahoma"/>
                <w:snapToGrid w:val="0"/>
                <w:sz w:val="18"/>
                <w:szCs w:val="18"/>
              </w:rPr>
            </w:pPr>
            <w:r w:rsidRPr="005F482D">
              <w:rPr>
                <w:rFonts w:ascii="Tahoma" w:hAnsi="Tahoma" w:cs="Tahoma"/>
                <w:snapToGrid w:val="0"/>
                <w:sz w:val="18"/>
                <w:szCs w:val="18"/>
              </w:rPr>
              <w:t>Nátrium-karbonát</w:t>
            </w:r>
          </w:p>
          <w:p w:rsidR="00A53D1F" w:rsidRPr="005F482D" w:rsidRDefault="00A53D1F" w:rsidP="0068433E">
            <w:pPr>
              <w:tabs>
                <w:tab w:val="left" w:pos="1950"/>
              </w:tabs>
              <w:ind w:left="204"/>
              <w:jc w:val="both"/>
              <w:rPr>
                <w:rFonts w:ascii="Tahoma" w:hAnsi="Tahoma" w:cs="Tahoma"/>
                <w:snapToGrid w:val="0"/>
                <w:sz w:val="18"/>
                <w:szCs w:val="18"/>
              </w:rPr>
            </w:pPr>
            <w:r w:rsidRPr="005F482D">
              <w:rPr>
                <w:rFonts w:ascii="Tahoma" w:hAnsi="Tahoma" w:cs="Tahoma"/>
                <w:snapToGrid w:val="0"/>
                <w:sz w:val="18"/>
                <w:szCs w:val="18"/>
              </w:rPr>
              <w:t>CAS-szám: 497-19-8</w:t>
            </w:r>
          </w:p>
          <w:tbl>
            <w:tblPr>
              <w:tblW w:w="0" w:type="auto"/>
              <w:tblLayout w:type="fixed"/>
              <w:tblLook w:val="0000"/>
            </w:tblPr>
            <w:tblGrid>
              <w:gridCol w:w="3486"/>
            </w:tblGrid>
            <w:tr w:rsidR="00A53D1F" w:rsidRPr="005F482D" w:rsidTr="0068433E">
              <w:trPr>
                <w:trHeight w:val="93"/>
              </w:trPr>
              <w:tc>
                <w:tcPr>
                  <w:tcW w:w="3486" w:type="dxa"/>
                </w:tcPr>
                <w:p w:rsidR="00A53D1F" w:rsidRDefault="00A53D1F" w:rsidP="0068433E">
                  <w:pPr>
                    <w:pStyle w:val="Default"/>
                    <w:ind w:left="84"/>
                    <w:rPr>
                      <w:rFonts w:ascii="Tahoma" w:hAnsi="Tahoma" w:cs="Tahoma"/>
                      <w:snapToGrid w:val="0"/>
                      <w:sz w:val="18"/>
                      <w:szCs w:val="18"/>
                    </w:rPr>
                  </w:pPr>
                  <w:r w:rsidRPr="005F482D">
                    <w:rPr>
                      <w:rFonts w:ascii="Tahoma" w:hAnsi="Tahoma" w:cs="Tahoma"/>
                      <w:snapToGrid w:val="0"/>
                      <w:sz w:val="18"/>
                      <w:szCs w:val="18"/>
                    </w:rPr>
                    <w:t>EK-szám: 207-838-8</w:t>
                  </w:r>
                </w:p>
                <w:p w:rsidR="00A53D1F" w:rsidRPr="005F482D" w:rsidRDefault="00A53D1F" w:rsidP="0068433E">
                  <w:pPr>
                    <w:pStyle w:val="Default"/>
                    <w:ind w:left="84"/>
                    <w:rPr>
                      <w:rFonts w:ascii="Tahoma" w:hAnsi="Tahoma" w:cs="Tahoma"/>
                      <w:snapToGrid w:val="0"/>
                      <w:sz w:val="18"/>
                      <w:szCs w:val="18"/>
                    </w:rPr>
                  </w:pPr>
                  <w:r>
                    <w:rPr>
                      <w:rFonts w:ascii="Tahoma" w:hAnsi="Tahoma" w:cs="Tahoma"/>
                      <w:snapToGrid w:val="0"/>
                      <w:sz w:val="18"/>
                      <w:szCs w:val="18"/>
                    </w:rPr>
                    <w:t>Index-szám: 011-005-00-2</w:t>
                  </w:r>
                </w:p>
                <w:p w:rsidR="00A53D1F" w:rsidRPr="005F482D" w:rsidRDefault="00A53D1F" w:rsidP="0068433E">
                  <w:pPr>
                    <w:pStyle w:val="Default"/>
                    <w:spacing w:after="40"/>
                    <w:ind w:left="85"/>
                    <w:rPr>
                      <w:rFonts w:ascii="Tahoma" w:hAnsi="Tahoma" w:cs="Tahoma"/>
                      <w:sz w:val="18"/>
                      <w:szCs w:val="18"/>
                    </w:rPr>
                  </w:pPr>
                  <w:r w:rsidRPr="005F482D">
                    <w:rPr>
                      <w:rFonts w:ascii="Tahoma" w:hAnsi="Tahoma" w:cs="Tahoma"/>
                      <w:snapToGrid w:val="0"/>
                      <w:sz w:val="18"/>
                      <w:szCs w:val="18"/>
                    </w:rPr>
                    <w:t xml:space="preserve">REACH Reg. szám: </w:t>
                  </w:r>
                  <w:r w:rsidRPr="005F482D">
                    <w:rPr>
                      <w:rFonts w:ascii="Tahoma" w:hAnsi="Tahoma" w:cs="Tahoma"/>
                      <w:sz w:val="18"/>
                      <w:szCs w:val="18"/>
                    </w:rPr>
                    <w:t>01-2119485</w:t>
                  </w:r>
                  <w:r>
                    <w:rPr>
                      <w:rFonts w:ascii="Tahoma" w:hAnsi="Tahoma" w:cs="Tahoma"/>
                      <w:sz w:val="18"/>
                      <w:szCs w:val="18"/>
                    </w:rPr>
                    <w:t>4</w:t>
                  </w:r>
                  <w:r w:rsidRPr="005F482D">
                    <w:rPr>
                      <w:rFonts w:ascii="Tahoma" w:hAnsi="Tahoma" w:cs="Tahoma"/>
                      <w:sz w:val="18"/>
                      <w:szCs w:val="18"/>
                    </w:rPr>
                    <w:t>98-19</w:t>
                  </w:r>
                </w:p>
              </w:tc>
            </w:tr>
          </w:tbl>
          <w:p w:rsidR="00A53D1F" w:rsidRPr="005F482D" w:rsidRDefault="00A53D1F" w:rsidP="0068433E">
            <w:pPr>
              <w:ind w:left="204" w:right="62"/>
              <w:jc w:val="center"/>
              <w:rPr>
                <w:rFonts w:ascii="Tahoma" w:hAnsi="Tahoma" w:cs="Tahoma"/>
                <w:sz w:val="18"/>
                <w:szCs w:val="18"/>
              </w:rPr>
            </w:pPr>
          </w:p>
        </w:tc>
        <w:tc>
          <w:tcPr>
            <w:tcW w:w="1418" w:type="dxa"/>
            <w:vMerge w:val="restart"/>
            <w:vAlign w:val="center"/>
          </w:tcPr>
          <w:p w:rsidR="00A53D1F" w:rsidRPr="005F482D" w:rsidRDefault="00A53D1F" w:rsidP="0021392C">
            <w:pPr>
              <w:ind w:left="61" w:right="62"/>
              <w:jc w:val="center"/>
              <w:rPr>
                <w:rFonts w:ascii="Tahoma" w:hAnsi="Tahoma" w:cs="Tahoma"/>
                <w:snapToGrid w:val="0"/>
                <w:sz w:val="18"/>
                <w:szCs w:val="18"/>
              </w:rPr>
            </w:pPr>
            <w:r>
              <w:rPr>
                <w:rFonts w:ascii="Tahoma" w:hAnsi="Tahoma" w:cs="Tahoma"/>
                <w:snapToGrid w:val="0"/>
                <w:sz w:val="18"/>
                <w:szCs w:val="18"/>
              </w:rPr>
              <w:t>2,5 – &lt;10%</w:t>
            </w:r>
          </w:p>
        </w:tc>
        <w:tc>
          <w:tcPr>
            <w:tcW w:w="708" w:type="dxa"/>
            <w:vAlign w:val="center"/>
          </w:tcPr>
          <w:p w:rsidR="00A53D1F" w:rsidRPr="005F482D" w:rsidRDefault="00A53D1F" w:rsidP="00E65D49">
            <w:pPr>
              <w:tabs>
                <w:tab w:val="left" w:pos="708"/>
              </w:tabs>
              <w:ind w:left="-1"/>
              <w:jc w:val="center"/>
              <w:rPr>
                <w:rFonts w:ascii="Tahoma" w:hAnsi="Tahoma" w:cs="Tahoma"/>
                <w:snapToGrid w:val="0"/>
                <w:sz w:val="18"/>
                <w:szCs w:val="18"/>
              </w:rPr>
            </w:pPr>
            <w:r w:rsidRPr="002D3324">
              <w:rPr>
                <w:rFonts w:ascii="Tahoma" w:hAnsi="Tahoma" w:cs="Tahom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3" o:spid="_x0000_i1025" type="#_x0000_t75" alt="Ártalmas (2).jpg" style="width:23.25pt;height:21.75pt;visibility:visible">
                  <v:imagedata r:id="rId7" o:title=""/>
                </v:shape>
              </w:pict>
            </w:r>
          </w:p>
        </w:tc>
        <w:tc>
          <w:tcPr>
            <w:tcW w:w="3032" w:type="dxa"/>
            <w:vAlign w:val="center"/>
          </w:tcPr>
          <w:p w:rsidR="00A53D1F" w:rsidRPr="00501707" w:rsidRDefault="00A53D1F" w:rsidP="00C6520D">
            <w:pPr>
              <w:tabs>
                <w:tab w:val="left" w:pos="650"/>
              </w:tabs>
              <w:ind w:left="204" w:hanging="6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36</w:t>
            </w:r>
          </w:p>
        </w:tc>
      </w:tr>
      <w:tr w:rsidR="00A53D1F" w:rsidRPr="00501707" w:rsidTr="002E11E0">
        <w:trPr>
          <w:cantSplit/>
          <w:trHeight w:val="392"/>
          <w:jc w:val="center"/>
        </w:trPr>
        <w:tc>
          <w:tcPr>
            <w:tcW w:w="3460" w:type="dxa"/>
            <w:vMerge/>
            <w:vAlign w:val="center"/>
          </w:tcPr>
          <w:p w:rsidR="00A53D1F" w:rsidRPr="005F482D" w:rsidRDefault="00A53D1F" w:rsidP="0068433E">
            <w:pPr>
              <w:spacing w:before="40"/>
              <w:ind w:left="204"/>
              <w:jc w:val="both"/>
              <w:rPr>
                <w:rFonts w:ascii="Tahoma" w:hAnsi="Tahoma" w:cs="Tahoma"/>
                <w:snapToGrid w:val="0"/>
                <w:sz w:val="18"/>
                <w:szCs w:val="18"/>
              </w:rPr>
            </w:pPr>
          </w:p>
        </w:tc>
        <w:tc>
          <w:tcPr>
            <w:tcW w:w="1418" w:type="dxa"/>
            <w:vMerge/>
            <w:vAlign w:val="center"/>
          </w:tcPr>
          <w:p w:rsidR="00A53D1F" w:rsidRDefault="00A53D1F" w:rsidP="0021392C">
            <w:pPr>
              <w:ind w:left="61" w:right="62"/>
              <w:jc w:val="center"/>
              <w:rPr>
                <w:rFonts w:ascii="Tahoma" w:hAnsi="Tahoma" w:cs="Tahoma"/>
                <w:snapToGrid w:val="0"/>
                <w:sz w:val="18"/>
                <w:szCs w:val="18"/>
              </w:rPr>
            </w:pPr>
          </w:p>
        </w:tc>
        <w:tc>
          <w:tcPr>
            <w:tcW w:w="708" w:type="dxa"/>
            <w:vAlign w:val="center"/>
          </w:tcPr>
          <w:p w:rsidR="00A53D1F" w:rsidRPr="005F482D" w:rsidRDefault="00A53D1F" w:rsidP="00E65D49">
            <w:pPr>
              <w:tabs>
                <w:tab w:val="left" w:pos="684"/>
              </w:tabs>
              <w:ind w:left="-1"/>
              <w:jc w:val="center"/>
              <w:rPr>
                <w:rFonts w:ascii="Tahoma" w:hAnsi="Tahoma" w:cs="Tahoma"/>
                <w:snapToGrid w:val="0"/>
                <w:sz w:val="18"/>
                <w:szCs w:val="18"/>
              </w:rPr>
            </w:pPr>
            <w:r w:rsidRPr="002D3324">
              <w:rPr>
                <w:rFonts w:ascii="Tahoma" w:hAnsi="Tahoma" w:cs="Tahoma"/>
                <w:noProof/>
                <w:sz w:val="18"/>
                <w:szCs w:val="18"/>
              </w:rPr>
              <w:pict>
                <v:shape id="Kép 0" o:spid="_x0000_i1026" type="#_x0000_t75" alt="exclam.gif" style="width:22.5pt;height:22.5pt;visibility:visible">
                  <v:imagedata r:id="rId8" o:title=""/>
                </v:shape>
              </w:pict>
            </w:r>
          </w:p>
        </w:tc>
        <w:tc>
          <w:tcPr>
            <w:tcW w:w="3032" w:type="dxa"/>
            <w:vAlign w:val="center"/>
          </w:tcPr>
          <w:p w:rsidR="00A53D1F" w:rsidRPr="005F482D" w:rsidRDefault="00A53D1F" w:rsidP="00C6520D">
            <w:pPr>
              <w:tabs>
                <w:tab w:val="left" w:pos="650"/>
              </w:tabs>
              <w:ind w:left="204" w:hanging="62"/>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w:t>
            </w:r>
            <w:r w:rsidRPr="005F482D">
              <w:rPr>
                <w:rFonts w:ascii="Tahoma" w:hAnsi="Tahoma" w:cs="Tahoma"/>
                <w:snapToGrid w:val="0"/>
                <w:sz w:val="18"/>
                <w:szCs w:val="18"/>
              </w:rPr>
              <w:t>Ey</w:t>
            </w:r>
            <w:r>
              <w:rPr>
                <w:rFonts w:ascii="Tahoma" w:hAnsi="Tahoma" w:cs="Tahoma"/>
                <w:snapToGrid w:val="0"/>
                <w:sz w:val="18"/>
                <w:szCs w:val="18"/>
              </w:rPr>
              <w:t>e</w:t>
            </w:r>
            <w:r w:rsidRPr="005F482D">
              <w:rPr>
                <w:rFonts w:ascii="Tahoma" w:hAnsi="Tahoma" w:cs="Tahoma"/>
                <w:snapToGrid w:val="0"/>
                <w:sz w:val="18"/>
                <w:szCs w:val="18"/>
              </w:rPr>
              <w:t xml:space="preserve"> Irrit. 2, H319</w:t>
            </w:r>
          </w:p>
        </w:tc>
      </w:tr>
    </w:tbl>
    <w:p w:rsidR="00A53D1F" w:rsidRDefault="00A53D1F" w:rsidP="00E65D49">
      <w:pPr>
        <w:tabs>
          <w:tab w:val="left" w:pos="426"/>
          <w:tab w:val="left" w:pos="6379"/>
        </w:tabs>
        <w:spacing w:before="120" w:after="60"/>
        <w:jc w:val="both"/>
        <w:rPr>
          <w:rFonts w:ascii="Tahoma" w:hAnsi="Tahoma" w:cs="Tahoma"/>
          <w:snapToGrid w:val="0"/>
        </w:rPr>
      </w:pPr>
      <w:r w:rsidRPr="00964C6F">
        <w:rPr>
          <w:rFonts w:ascii="Tahoma" w:hAnsi="Tahoma" w:cs="Tahoma"/>
          <w:b/>
          <w:snapToGrid w:val="0"/>
        </w:rPr>
        <w:t>Összetevők a 648/2004/EK rendelet szerint:</w:t>
      </w:r>
      <w:r>
        <w:rPr>
          <w:rFonts w:ascii="Tahoma" w:hAnsi="Tahoma" w:cs="Tahoma"/>
          <w:snapToGrid w:val="0"/>
        </w:rPr>
        <w:t xml:space="preserve"> &lt;5% anionos felületaktív anyag, &lt;5% foszfátok. Illatanyagokat és enzimeket tartalmaz. </w:t>
      </w:r>
    </w:p>
    <w:p w:rsidR="00A53D1F" w:rsidRPr="00E65D49" w:rsidRDefault="00A53D1F" w:rsidP="00C6520D">
      <w:pPr>
        <w:spacing w:before="120"/>
        <w:jc w:val="both"/>
        <w:rPr>
          <w:rFonts w:ascii="Tahoma" w:hAnsi="Tahoma" w:cs="Tahoma"/>
        </w:rPr>
      </w:pPr>
      <w:r w:rsidRPr="00E65D49">
        <w:rPr>
          <w:rFonts w:ascii="Tahoma" w:hAnsi="Tahoma" w:cs="Tahoma"/>
        </w:rPr>
        <w:t xml:space="preserve">A veszélyjel, R- és H-mondatok, ill. a veszélyességi osztály, a kategória a tiszta összetevőre vonatkozik, a termék veszélyesség szerinti besorolását a 2. szakasz adja meg. </w:t>
      </w:r>
    </w:p>
    <w:p w:rsidR="00A53D1F" w:rsidRPr="00E65D49" w:rsidRDefault="00A53D1F" w:rsidP="00C6520D">
      <w:pPr>
        <w:jc w:val="both"/>
        <w:rPr>
          <w:rFonts w:ascii="Tahoma" w:hAnsi="Tahoma" w:cs="Tahoma"/>
        </w:rPr>
      </w:pPr>
      <w:r w:rsidRPr="00E65D49">
        <w:rPr>
          <w:rFonts w:ascii="Tahoma" w:hAnsi="Tahoma" w:cs="Tahoma"/>
        </w:rPr>
        <w:t>Az R és a H-mondatok teljes szövegét lásd a 16. szakaszban.</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A53D1F" w:rsidRPr="005840A9" w:rsidRDefault="00A53D1F"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A53D1F" w:rsidRPr="005840A9" w:rsidRDefault="00A53D1F" w:rsidP="00857BC3">
      <w:pPr>
        <w:pStyle w:val="BodyTextIndent"/>
        <w:spacing w:before="40"/>
        <w:ind w:left="0"/>
        <w:rPr>
          <w:b/>
        </w:rPr>
      </w:pPr>
      <w:r w:rsidRPr="005840A9">
        <w:rPr>
          <w:b/>
        </w:rPr>
        <w:t>4.1. Az elsősegély-nyújtási intézkedések ismertetése</w:t>
      </w:r>
    </w:p>
    <w:p w:rsidR="00A53D1F" w:rsidRDefault="00A53D1F" w:rsidP="00857BC3">
      <w:pPr>
        <w:pStyle w:val="BodyTextIndent"/>
        <w:spacing w:before="40"/>
        <w:ind w:left="0"/>
        <w:rPr>
          <w:b/>
        </w:rPr>
      </w:pPr>
      <w:r w:rsidRPr="001451C7">
        <w:rPr>
          <w:b/>
        </w:rPr>
        <w:t>Belélegzés esetén:</w:t>
      </w:r>
      <w:r w:rsidRPr="001451C7">
        <w:t xml:space="preserve"> </w:t>
      </w:r>
      <w:r>
        <w:t>a</w:t>
      </w:r>
      <w:r w:rsidRPr="001451C7">
        <w:t xml:space="preserve"> sérültet friss levegőre kell vinni</w:t>
      </w:r>
      <w:r>
        <w:t>, panaszok esetén forduljunk orvoshoz!</w:t>
      </w:r>
      <w:r w:rsidRPr="001451C7">
        <w:rPr>
          <w:b/>
        </w:rPr>
        <w:t xml:space="preserve"> </w:t>
      </w:r>
    </w:p>
    <w:p w:rsidR="00A53D1F" w:rsidRDefault="00A53D1F" w:rsidP="00964C6F">
      <w:pPr>
        <w:pStyle w:val="BodyTextIndent"/>
        <w:spacing w:before="40"/>
        <w:ind w:left="0"/>
      </w:pPr>
      <w:r>
        <w:rPr>
          <w:b/>
        </w:rPr>
        <w:t>B</w:t>
      </w:r>
      <w:r w:rsidRPr="001451C7">
        <w:rPr>
          <w:b/>
        </w:rPr>
        <w:t xml:space="preserve">őrrel való érintkezés esetén: </w:t>
      </w:r>
      <w:r>
        <w:t xml:space="preserve">langyos folyó </w:t>
      </w:r>
      <w:r w:rsidRPr="001451C7">
        <w:t xml:space="preserve">vízzel alaposan le kell </w:t>
      </w:r>
      <w:r>
        <w:t>öblíteni.</w:t>
      </w:r>
    </w:p>
    <w:p w:rsidR="00A53D1F" w:rsidRPr="001451C7" w:rsidRDefault="00A53D1F"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A53D1F" w:rsidRDefault="00A53D1F"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A53D1F" w:rsidRPr="001C77FE" w:rsidRDefault="00A53D1F" w:rsidP="00857BC3">
      <w:pPr>
        <w:pStyle w:val="BodyTextIndent"/>
        <w:spacing w:before="40"/>
        <w:ind w:left="0"/>
        <w:rPr>
          <w:bCs/>
        </w:rPr>
      </w:pPr>
      <w:r w:rsidRPr="005840A9">
        <w:rPr>
          <w:b/>
        </w:rPr>
        <w:t>4.2. A legfontosabb – akut és késleltetett – tünetek és hatások:</w:t>
      </w:r>
      <w:r>
        <w:rPr>
          <w:b/>
        </w:rPr>
        <w:t xml:space="preserve"> </w:t>
      </w:r>
      <w:r w:rsidRPr="001C77FE">
        <w:t xml:space="preserve">hosszas és tartós érintkezés esetén </w:t>
      </w:r>
      <w:r w:rsidRPr="001C77FE">
        <w:rPr>
          <w:bCs/>
        </w:rPr>
        <w:t xml:space="preserve">irritálhat. </w:t>
      </w:r>
    </w:p>
    <w:p w:rsidR="00A53D1F" w:rsidRPr="00430026" w:rsidRDefault="00A53D1F"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A53D1F" w:rsidRDefault="00A53D1F"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A53D1F" w:rsidRPr="0014339B" w:rsidRDefault="00A53D1F"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A53D1F" w:rsidRDefault="00A53D1F"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A53D1F" w:rsidRPr="0014339B" w:rsidRDefault="00A53D1F"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A53D1F" w:rsidRPr="00A254C1" w:rsidRDefault="00A53D1F"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A53D1F" w:rsidRPr="0014339B" w:rsidRDefault="00A53D1F"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710AEF">
        <w:rPr>
          <w:rFonts w:ascii="Tahoma" w:hAnsi="Tahoma" w:cs="Tahoma"/>
          <w:snapToGrid w:val="0"/>
        </w:rPr>
        <w:t>kerüljük el a porképződést és a porfelhalmozódást.</w:t>
      </w:r>
      <w:r>
        <w:rPr>
          <w:rFonts w:ascii="Tahoma" w:hAnsi="Tahoma" w:cs="Tahoma"/>
          <w:b/>
          <w:snapToGrid w:val="0"/>
        </w:rPr>
        <w:t xml:space="preserve"> </w:t>
      </w:r>
    </w:p>
    <w:p w:rsidR="00A53D1F" w:rsidRDefault="00A53D1F" w:rsidP="00616803">
      <w:pPr>
        <w:spacing w:before="60"/>
        <w:jc w:val="both"/>
        <w:rPr>
          <w:rFonts w:ascii="Tahoma" w:hAnsi="Tahoma" w:cs="Tahoma"/>
          <w:snapToGrid w:val="0"/>
        </w:rPr>
      </w:pPr>
      <w:r w:rsidRPr="0014339B">
        <w:rPr>
          <w:rFonts w:ascii="Tahoma" w:hAnsi="Tahoma" w:cs="Tahoma"/>
          <w:b/>
          <w:snapToGrid w:val="0"/>
        </w:rPr>
        <w:t>6.2. Környezetvédelmi óvintézkedések</w:t>
      </w:r>
      <w:r>
        <w:rPr>
          <w:rFonts w:ascii="Tahoma" w:hAnsi="Tahoma" w:cs="Tahoma"/>
          <w:b/>
          <w:snapToGrid w:val="0"/>
        </w:rPr>
        <w:t xml:space="preserve">: </w:t>
      </w:r>
      <w:r>
        <w:rPr>
          <w:rFonts w:ascii="Tahoma" w:hAnsi="Tahoma" w:cs="Tahoma"/>
        </w:rPr>
        <w:t>ne engedjük, hogy a</w:t>
      </w:r>
      <w:r w:rsidRPr="0014339B">
        <w:rPr>
          <w:rFonts w:ascii="Tahoma" w:hAnsi="Tahoma" w:cs="Tahoma"/>
        </w:rPr>
        <w:t xml:space="preserve"> ki</w:t>
      </w:r>
      <w:r>
        <w:rPr>
          <w:rFonts w:ascii="Tahoma" w:hAnsi="Tahoma" w:cs="Tahoma"/>
        </w:rPr>
        <w:t xml:space="preserve">szóródott termék </w:t>
      </w:r>
      <w:r w:rsidRPr="0014339B">
        <w:rPr>
          <w:rFonts w:ascii="Tahoma" w:hAnsi="Tahoma" w:cs="Tahoma"/>
        </w:rPr>
        <w:t>a csatornába</w:t>
      </w:r>
      <w:r>
        <w:rPr>
          <w:rFonts w:ascii="Tahoma" w:hAnsi="Tahoma" w:cs="Tahoma"/>
        </w:rPr>
        <w:t>,</w:t>
      </w:r>
      <w:r w:rsidRPr="0014339B">
        <w:rPr>
          <w:rFonts w:ascii="Tahoma" w:hAnsi="Tahoma" w:cs="Tahoma"/>
        </w:rPr>
        <w:t xml:space="preserve"> élő vizekbe</w:t>
      </w:r>
      <w:r>
        <w:rPr>
          <w:rFonts w:ascii="Tahoma" w:hAnsi="Tahoma" w:cs="Tahoma"/>
        </w:rPr>
        <w:t>, talajba jusson</w:t>
      </w:r>
      <w:r w:rsidRPr="0014339B">
        <w:rPr>
          <w:rFonts w:ascii="Tahoma" w:hAnsi="Tahoma" w:cs="Tahoma"/>
        </w:rPr>
        <w:t xml:space="preserve">! </w:t>
      </w:r>
    </w:p>
    <w:p w:rsidR="00A53D1F" w:rsidRDefault="00A53D1F" w:rsidP="00616803">
      <w:pPr>
        <w:spacing w:before="60"/>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A53D1F" w:rsidRPr="0014339B" w:rsidRDefault="00A53D1F"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A53D1F" w:rsidRDefault="00A53D1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A53D1F" w:rsidRPr="000E1DD2" w:rsidRDefault="00A53D1F"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A53D1F" w:rsidRPr="00293D58" w:rsidRDefault="00A53D1F" w:rsidP="00C110D4">
      <w:pPr>
        <w:pStyle w:val="BodyTextIndent"/>
        <w:ind w:left="0"/>
      </w:pPr>
      <w:r w:rsidRPr="008D5244">
        <w:rPr>
          <w:b/>
        </w:rPr>
        <w:t>Tűz- és robbanásvédelem:</w:t>
      </w:r>
      <w:r w:rsidRPr="008D5244">
        <w:t xml:space="preserve"> speciális intézkedés nem szükséges.</w:t>
      </w:r>
    </w:p>
    <w:p w:rsidR="00A53D1F" w:rsidRPr="0014339B" w:rsidRDefault="00A53D1F" w:rsidP="00C110D4">
      <w:pPr>
        <w:pStyle w:val="BodyTextIndent"/>
        <w:ind w:left="0"/>
        <w:rPr>
          <w:rFonts w:cs="Tahoma"/>
          <w:b/>
        </w:rPr>
      </w:pPr>
      <w:r w:rsidRPr="0014339B">
        <w:rPr>
          <w:rFonts w:cs="Tahoma"/>
          <w:b/>
        </w:rPr>
        <w:t>7.2. A biztonságos tárolás feltételei, az esetleges összeférhetetlenséggel együtt</w:t>
      </w:r>
    </w:p>
    <w:p w:rsidR="00A53D1F" w:rsidRPr="000E1DD2" w:rsidRDefault="00A53D1F" w:rsidP="000E1DD2">
      <w:pPr>
        <w:jc w:val="both"/>
        <w:rPr>
          <w:rFonts w:ascii="Tahoma" w:hAnsi="Tahoma" w:cs="Tahoma"/>
        </w:rPr>
      </w:pPr>
      <w:r w:rsidRPr="000E1DD2">
        <w:rPr>
          <w:rFonts w:ascii="Tahoma" w:hAnsi="Tahoma" w:cs="Tahoma"/>
        </w:rPr>
        <w:t xml:space="preserve">Eredeti, bontatlan csomagolásban, </w:t>
      </w:r>
      <w:r>
        <w:rPr>
          <w:rFonts w:ascii="Tahoma" w:hAnsi="Tahoma" w:cs="Tahoma"/>
        </w:rPr>
        <w:t xml:space="preserve">száraz, </w:t>
      </w:r>
      <w:r w:rsidRPr="000E1DD2">
        <w:rPr>
          <w:rFonts w:ascii="Tahoma" w:hAnsi="Tahoma" w:cs="Tahoma"/>
        </w:rPr>
        <w:t xml:space="preserve">hűvös helyen tartandó! Élelmiszerektől, italoktól, </w:t>
      </w:r>
      <w:r>
        <w:rPr>
          <w:rFonts w:ascii="Tahoma" w:hAnsi="Tahoma" w:cs="Tahoma"/>
        </w:rPr>
        <w:t xml:space="preserve">savaktól </w:t>
      </w:r>
      <w:r w:rsidRPr="000E1DD2">
        <w:rPr>
          <w:rFonts w:ascii="Tahoma" w:hAnsi="Tahoma" w:cs="Tahoma"/>
        </w:rPr>
        <w:t>elkülönítve tároljuk. Gyermekek kezébe nem kerülhet</w:t>
      </w:r>
      <w:r>
        <w:rPr>
          <w:rFonts w:ascii="Tahoma" w:hAnsi="Tahoma" w:cs="Tahoma"/>
        </w:rPr>
        <w:t>! Ajánlott tárolási hőmérséklet: 5 – 25°C</w:t>
      </w:r>
    </w:p>
    <w:p w:rsidR="00A53D1F" w:rsidRPr="0014339B" w:rsidRDefault="00A53D1F"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mosószer.</w:t>
      </w:r>
      <w:r w:rsidRPr="0014339B">
        <w:rPr>
          <w:rFonts w:ascii="Tahoma" w:hAnsi="Tahoma" w:cs="Tahoma"/>
        </w:rPr>
        <w:t xml:space="preserve"> A felhasználók mindig olvassák el a használati útmutatót, és tartsák be a biztonságos kezelésre és felhasználásra vonatkozó utasításokat.</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A53D1F" w:rsidRDefault="00A53D1F"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magyar határérték nincs.</w:t>
      </w:r>
    </w:p>
    <w:p w:rsidR="00A53D1F" w:rsidRDefault="00A53D1F" w:rsidP="001C77FE">
      <w:pPr>
        <w:pStyle w:val="BodyTextIndent"/>
        <w:spacing w:before="0"/>
        <w:ind w:hanging="204"/>
        <w:outlineLvl w:val="0"/>
        <w:rPr>
          <w:rFonts w:cs="Tahoma"/>
        </w:rPr>
      </w:pPr>
      <w:r w:rsidRPr="00DF6D08">
        <w:rPr>
          <w:rFonts w:cs="Tahoma"/>
          <w:b/>
        </w:rPr>
        <w:t>nátrium-</w:t>
      </w:r>
      <w:r>
        <w:rPr>
          <w:rFonts w:cs="Tahoma"/>
          <w:b/>
        </w:rPr>
        <w:t>karbonát</w:t>
      </w:r>
      <w:r w:rsidRPr="00DF6D08">
        <w:rPr>
          <w:rFonts w:cs="Tahoma"/>
          <w:b/>
        </w:rPr>
        <w:t>:</w:t>
      </w:r>
      <w:r w:rsidRPr="007D7CCC">
        <w:rPr>
          <w:rFonts w:cs="Tahoma"/>
        </w:rPr>
        <w:t xml:space="preserve"> TWA:</w:t>
      </w:r>
      <w:r>
        <w:rPr>
          <w:rFonts w:cs="Tahoma"/>
        </w:rPr>
        <w:t xml:space="preserve"> 3 mg/m</w:t>
      </w:r>
      <w:r w:rsidRPr="007D7CCC">
        <w:rPr>
          <w:rFonts w:cs="Tahoma"/>
          <w:vertAlign w:val="superscript"/>
        </w:rPr>
        <w:t>3</w:t>
      </w:r>
      <w:r>
        <w:rPr>
          <w:rFonts w:cs="Tahoma"/>
        </w:rPr>
        <w:t>, STEL: 6 mg/m</w:t>
      </w:r>
      <w:r w:rsidRPr="007D7CCC">
        <w:rPr>
          <w:rFonts w:cs="Tahoma"/>
          <w:vertAlign w:val="superscript"/>
        </w:rPr>
        <w:t>3</w:t>
      </w:r>
      <w:r>
        <w:rPr>
          <w:rFonts w:cs="Tahoma"/>
          <w:vertAlign w:val="superscript"/>
        </w:rPr>
        <w:t xml:space="preserve"> </w:t>
      </w:r>
      <w:r w:rsidRPr="007D7CCC">
        <w:rPr>
          <w:rFonts w:cs="Tahoma"/>
        </w:rPr>
        <w:t>(</w:t>
      </w:r>
      <w:r>
        <w:rPr>
          <w:rFonts w:cs="Tahoma"/>
        </w:rPr>
        <w:t>Kínai Népköztársaság</w:t>
      </w:r>
      <w:r w:rsidRPr="007D7CCC">
        <w:rPr>
          <w:rFonts w:cs="Tahoma"/>
        </w:rPr>
        <w:t>)</w:t>
      </w:r>
    </w:p>
    <w:p w:rsidR="00A53D1F" w:rsidRPr="00A85BE1" w:rsidRDefault="00A53D1F" w:rsidP="00CA2702">
      <w:pPr>
        <w:pStyle w:val="FootnoteText"/>
        <w:spacing w:before="60"/>
        <w:ind w:left="567" w:hanging="567"/>
        <w:rPr>
          <w:rFonts w:ascii="Tahoma" w:hAnsi="Tahoma" w:cs="Tahoma"/>
          <w:sz w:val="18"/>
          <w:szCs w:val="18"/>
        </w:rPr>
      </w:pPr>
      <w:r w:rsidRPr="00A85BE1">
        <w:rPr>
          <w:rFonts w:ascii="Tahoma" w:hAnsi="Tahoma" w:cs="Tahoma"/>
          <w:bCs/>
          <w:sz w:val="18"/>
          <w:szCs w:val="18"/>
        </w:rPr>
        <w:t>TWA:</w:t>
      </w:r>
      <w:r>
        <w:rPr>
          <w:rFonts w:ascii="Tahoma" w:hAnsi="Tahoma" w:cs="Tahoma"/>
          <w:bCs/>
          <w:sz w:val="18"/>
          <w:szCs w:val="18"/>
        </w:rPr>
        <w:tab/>
      </w:r>
      <w:r w:rsidRPr="00A85BE1">
        <w:rPr>
          <w:rFonts w:ascii="Tahoma" w:hAnsi="Tahoma" w:cs="Tahoma"/>
          <w:bCs/>
          <w:sz w:val="18"/>
          <w:szCs w:val="18"/>
        </w:rPr>
        <w:t>Time Weighted Average, 8 órás munkavégzésre vonatkozó átlagos koncentráció, mellyel történő expozíció megengedhető.</w:t>
      </w:r>
    </w:p>
    <w:p w:rsidR="00A53D1F" w:rsidRPr="00A85BE1" w:rsidRDefault="00A53D1F" w:rsidP="00CA2702">
      <w:pPr>
        <w:pStyle w:val="FootnoteText"/>
        <w:tabs>
          <w:tab w:val="left" w:pos="567"/>
        </w:tabs>
        <w:rPr>
          <w:rFonts w:ascii="Tahoma" w:hAnsi="Tahoma" w:cs="Tahoma"/>
          <w:sz w:val="18"/>
          <w:szCs w:val="18"/>
        </w:rPr>
      </w:pPr>
      <w:r w:rsidRPr="00A85BE1">
        <w:rPr>
          <w:rFonts w:ascii="Tahoma" w:hAnsi="Tahoma" w:cs="Tahoma"/>
          <w:bCs/>
          <w:sz w:val="18"/>
          <w:szCs w:val="18"/>
        </w:rPr>
        <w:t>STEL:</w:t>
      </w:r>
      <w:r>
        <w:rPr>
          <w:rFonts w:ascii="Tahoma" w:hAnsi="Tahoma" w:cs="Tahoma"/>
          <w:bCs/>
          <w:sz w:val="18"/>
          <w:szCs w:val="18"/>
        </w:rPr>
        <w:tab/>
      </w:r>
      <w:r w:rsidRPr="00A85BE1">
        <w:rPr>
          <w:rFonts w:ascii="Tahoma" w:hAnsi="Tahoma" w:cs="Tahoma"/>
          <w:bCs/>
          <w:sz w:val="18"/>
          <w:szCs w:val="18"/>
        </w:rPr>
        <w:t>Short-Term Exposure Limit, rövid idejű munkavégzésre vonatkozó megengedhető koncentráció.</w:t>
      </w:r>
    </w:p>
    <w:p w:rsidR="00A53D1F" w:rsidRPr="00630FE0" w:rsidRDefault="00A53D1F" w:rsidP="00CA2702">
      <w:pPr>
        <w:pStyle w:val="Default"/>
        <w:tabs>
          <w:tab w:val="left" w:pos="2835"/>
        </w:tabs>
        <w:autoSpaceDE/>
        <w:autoSpaceDN/>
        <w:adjustRightInd/>
        <w:spacing w:before="120"/>
        <w:jc w:val="both"/>
        <w:rPr>
          <w:rFonts w:ascii="Tahoma" w:hAnsi="Tahoma" w:cs="Tahoma"/>
          <w:b/>
          <w:sz w:val="20"/>
          <w:szCs w:val="20"/>
        </w:rPr>
      </w:pPr>
      <w:r>
        <w:rPr>
          <w:rFonts w:ascii="Tahoma" w:hAnsi="Tahoma" w:cs="Tahoma"/>
          <w:b/>
          <w:sz w:val="20"/>
          <w:szCs w:val="20"/>
        </w:rPr>
        <w:t>Elérhető DNEL</w:t>
      </w:r>
      <w:r>
        <w:rPr>
          <w:rStyle w:val="FootnoteReference"/>
          <w:b/>
          <w:sz w:val="20"/>
          <w:szCs w:val="20"/>
        </w:rPr>
        <w:footnoteReference w:id="4"/>
      </w:r>
      <w:r>
        <w:rPr>
          <w:rFonts w:ascii="Tahoma" w:hAnsi="Tahoma" w:cs="Tahoma"/>
          <w:b/>
          <w:sz w:val="20"/>
          <w:szCs w:val="20"/>
        </w:rPr>
        <w:t xml:space="preserve"> értékek:</w:t>
      </w:r>
    </w:p>
    <w:p w:rsidR="00A53D1F" w:rsidRPr="00EF08D9" w:rsidRDefault="00A53D1F" w:rsidP="00CA2702">
      <w:pPr>
        <w:pStyle w:val="BodyTextIndent"/>
        <w:spacing w:before="0"/>
        <w:ind w:left="0"/>
        <w:rPr>
          <w:rFonts w:cs="Tahoma"/>
        </w:rPr>
      </w:pPr>
      <w:r w:rsidRPr="00EF08D9">
        <w:rPr>
          <w:rFonts w:cs="Tahoma"/>
        </w:rPr>
        <w:t>Foglalkozásszerű felhasználó</w:t>
      </w:r>
      <w:r>
        <w:rPr>
          <w:rFonts w:cs="Tahoma"/>
        </w:rPr>
        <w:t xml:space="preserve">: </w:t>
      </w:r>
      <w:r w:rsidRPr="00EF08D9">
        <w:rPr>
          <w:rFonts w:cs="Tahoma"/>
        </w:rPr>
        <w:t xml:space="preserve">DNEL (inhalációs expozíció, hosszan tartó, </w:t>
      </w:r>
      <w:r>
        <w:rPr>
          <w:rFonts w:cs="Tahoma"/>
        </w:rPr>
        <w:t xml:space="preserve">lokális </w:t>
      </w:r>
      <w:r w:rsidRPr="00EF08D9">
        <w:rPr>
          <w:rFonts w:cs="Tahoma"/>
        </w:rPr>
        <w:t xml:space="preserve">hatás): </w:t>
      </w:r>
      <w:r>
        <w:rPr>
          <w:rFonts w:cs="Tahoma"/>
        </w:rPr>
        <w:t>10</w:t>
      </w:r>
      <w:r w:rsidRPr="00EF08D9">
        <w:rPr>
          <w:rFonts w:cs="Tahoma"/>
        </w:rPr>
        <w:t xml:space="preserve"> mg/m</w:t>
      </w:r>
      <w:r w:rsidRPr="00EF08D9">
        <w:rPr>
          <w:rFonts w:cs="Tahoma"/>
          <w:vertAlign w:val="superscript"/>
        </w:rPr>
        <w:t>3</w:t>
      </w:r>
    </w:p>
    <w:p w:rsidR="00A53D1F" w:rsidRPr="00EF08D9" w:rsidRDefault="00A53D1F" w:rsidP="00CA2702">
      <w:pPr>
        <w:pStyle w:val="BodyTextIndent"/>
        <w:spacing w:before="0"/>
        <w:ind w:left="0"/>
        <w:rPr>
          <w:rFonts w:cs="Tahoma"/>
        </w:rPr>
      </w:pPr>
      <w:r>
        <w:rPr>
          <w:rFonts w:cs="Tahoma"/>
        </w:rPr>
        <w:t xml:space="preserve">Lakossági felhasználó: </w:t>
      </w:r>
      <w:r w:rsidRPr="00EF08D9">
        <w:rPr>
          <w:rFonts w:cs="Tahoma"/>
        </w:rPr>
        <w:t xml:space="preserve">DNEL (inhalációs expozíció, </w:t>
      </w:r>
      <w:r>
        <w:rPr>
          <w:rFonts w:cs="Tahoma"/>
        </w:rPr>
        <w:t>akut</w:t>
      </w:r>
      <w:r w:rsidRPr="00EF08D9">
        <w:rPr>
          <w:rFonts w:cs="Tahoma"/>
        </w:rPr>
        <w:t>,</w:t>
      </w:r>
      <w:r>
        <w:rPr>
          <w:rFonts w:cs="Tahoma"/>
        </w:rPr>
        <w:t xml:space="preserve"> rövid ideig tartó,</w:t>
      </w:r>
      <w:r w:rsidRPr="00EF08D9">
        <w:rPr>
          <w:rFonts w:cs="Tahoma"/>
        </w:rPr>
        <w:t xml:space="preserve"> </w:t>
      </w:r>
      <w:r>
        <w:rPr>
          <w:rFonts w:cs="Tahoma"/>
        </w:rPr>
        <w:t xml:space="preserve">lokális </w:t>
      </w:r>
      <w:r w:rsidRPr="00EF08D9">
        <w:rPr>
          <w:rFonts w:cs="Tahoma"/>
        </w:rPr>
        <w:t xml:space="preserve">hatás): </w:t>
      </w:r>
      <w:r>
        <w:rPr>
          <w:rFonts w:cs="Tahoma"/>
        </w:rPr>
        <w:t>10</w:t>
      </w:r>
      <w:r w:rsidRPr="00EF08D9">
        <w:rPr>
          <w:rFonts w:cs="Tahoma"/>
        </w:rPr>
        <w:t xml:space="preserve"> mg/m</w:t>
      </w:r>
      <w:r w:rsidRPr="00EF08D9">
        <w:rPr>
          <w:rFonts w:cs="Tahoma"/>
          <w:vertAlign w:val="superscript"/>
        </w:rPr>
        <w:t>3</w:t>
      </w:r>
    </w:p>
    <w:p w:rsidR="00A53D1F" w:rsidRPr="001E4463" w:rsidRDefault="00A53D1F"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A53D1F" w:rsidRDefault="00A53D1F" w:rsidP="000A36D7">
      <w:pPr>
        <w:pStyle w:val="BodyTextIndent"/>
        <w:spacing w:before="80"/>
        <w:ind w:left="0"/>
        <w:rPr>
          <w:b/>
        </w:rPr>
      </w:pPr>
      <w:r>
        <w:rPr>
          <w:b/>
        </w:rPr>
        <w:t>8.3. Személyi védelem</w:t>
      </w:r>
    </w:p>
    <w:p w:rsidR="00A53D1F" w:rsidRDefault="00A53D1F" w:rsidP="0015371B">
      <w:pPr>
        <w:pStyle w:val="BodyTextIndent"/>
        <w:spacing w:before="0"/>
        <w:ind w:left="0"/>
      </w:pPr>
      <w:r>
        <w:rPr>
          <w:b/>
        </w:rPr>
        <w:t xml:space="preserve">Műszaki intézkedések: </w:t>
      </w:r>
      <w:r>
        <w:t>nem szükséges.</w:t>
      </w:r>
    </w:p>
    <w:p w:rsidR="00A53D1F" w:rsidRDefault="00A53D1F" w:rsidP="007E27A7">
      <w:pPr>
        <w:pStyle w:val="BodyTextIndent"/>
        <w:spacing w:before="40"/>
        <w:ind w:left="0"/>
        <w:rPr>
          <w:b/>
        </w:rPr>
      </w:pPr>
      <w:r>
        <w:rPr>
          <w:b/>
        </w:rPr>
        <w:t>Higiéniai intézkedések</w:t>
      </w:r>
    </w:p>
    <w:p w:rsidR="00A53D1F" w:rsidRDefault="00A53D1F" w:rsidP="00874D02">
      <w:pPr>
        <w:pStyle w:val="BodyTextIndent"/>
        <w:numPr>
          <w:ilvl w:val="0"/>
          <w:numId w:val="28"/>
        </w:numPr>
        <w:spacing w:before="0"/>
        <w:ind w:left="714" w:hanging="357"/>
      </w:pPr>
      <w:r>
        <w:t>Tartsuk távol élelmiszerektől, italoktól és takarmányoktól.</w:t>
      </w:r>
    </w:p>
    <w:p w:rsidR="00A53D1F" w:rsidRDefault="00A53D1F" w:rsidP="00874D02">
      <w:pPr>
        <w:pStyle w:val="BodyTextIndent"/>
        <w:numPr>
          <w:ilvl w:val="0"/>
          <w:numId w:val="28"/>
        </w:numPr>
        <w:spacing w:before="0"/>
        <w:ind w:left="714" w:hanging="357"/>
      </w:pPr>
      <w:r>
        <w:t>Körültekintő munkával, használattal kerüljük el a termék szembejutását, bőrre kerülést, porának belégzését.</w:t>
      </w:r>
    </w:p>
    <w:p w:rsidR="00A53D1F" w:rsidRPr="00CA2702" w:rsidRDefault="00A53D1F" w:rsidP="00874D02">
      <w:pPr>
        <w:pStyle w:val="BodyTextIndent"/>
        <w:numPr>
          <w:ilvl w:val="0"/>
          <w:numId w:val="28"/>
        </w:numPr>
        <w:spacing w:before="0"/>
        <w:ind w:left="714" w:hanging="357"/>
      </w:pPr>
      <w:r>
        <w:t>Használata után/a készítménnyel történő munka befejezése után mossunk kezet.</w:t>
      </w:r>
    </w:p>
    <w:p w:rsidR="00A53D1F" w:rsidRDefault="00A53D1F" w:rsidP="00F640E1">
      <w:pPr>
        <w:pStyle w:val="BodyTextIndent"/>
        <w:spacing w:before="80"/>
        <w:ind w:left="0"/>
        <w:rPr>
          <w:b/>
        </w:rPr>
      </w:pPr>
      <w:r w:rsidRPr="00CA2702">
        <w:rPr>
          <w:b/>
        </w:rPr>
        <w:t>Személyi védőfelszerelések</w:t>
      </w:r>
      <w:r>
        <w:rPr>
          <w:b/>
        </w:rPr>
        <w:t xml:space="preserve"> lakossági felhasználás esetén:</w:t>
      </w:r>
    </w:p>
    <w:p w:rsidR="00A53D1F" w:rsidRDefault="00A53D1F" w:rsidP="00CA2702">
      <w:pPr>
        <w:pStyle w:val="BodyTextIndent"/>
        <w:numPr>
          <w:ilvl w:val="0"/>
          <w:numId w:val="28"/>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A53D1F" w:rsidRPr="00CA2702" w:rsidRDefault="00A53D1F" w:rsidP="00CA2702">
      <w:pPr>
        <w:pStyle w:val="BodyTextIndent"/>
        <w:numPr>
          <w:ilvl w:val="0"/>
          <w:numId w:val="28"/>
        </w:numPr>
        <w:tabs>
          <w:tab w:val="clear" w:pos="1701"/>
        </w:tabs>
        <w:spacing w:before="40"/>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A53D1F" w:rsidRPr="00CA2702" w:rsidRDefault="00A53D1F" w:rsidP="00CA2702">
      <w:pPr>
        <w:pStyle w:val="BodyTextIndent"/>
        <w:numPr>
          <w:ilvl w:val="0"/>
          <w:numId w:val="28"/>
        </w:numPr>
        <w:spacing w:before="40"/>
      </w:pPr>
      <w:r w:rsidRPr="00CA2702">
        <w:rPr>
          <w:b/>
        </w:rPr>
        <w:t>Szemvédelem:</w:t>
      </w:r>
      <w:r w:rsidRPr="00CA2702">
        <w:t xml:space="preserve"> nem szükséges. </w:t>
      </w:r>
    </w:p>
    <w:p w:rsidR="00A53D1F" w:rsidRDefault="00A53D1F" w:rsidP="00F640E1">
      <w:pPr>
        <w:pStyle w:val="BodyTextIndent"/>
        <w:spacing w:before="80"/>
        <w:ind w:left="0"/>
        <w:rPr>
          <w:b/>
        </w:rPr>
      </w:pPr>
      <w:r w:rsidRPr="00CA2702">
        <w:rPr>
          <w:b/>
        </w:rPr>
        <w:t>Személyi védőfelszerelések</w:t>
      </w:r>
      <w:r>
        <w:rPr>
          <w:b/>
        </w:rPr>
        <w:t xml:space="preserve"> ipari műveletek, mentesítés esetén:</w:t>
      </w:r>
    </w:p>
    <w:p w:rsidR="00A53D1F" w:rsidRPr="00874D02" w:rsidRDefault="00A53D1F" w:rsidP="00874D02">
      <w:pPr>
        <w:pStyle w:val="BodyTextIndent"/>
        <w:numPr>
          <w:ilvl w:val="0"/>
          <w:numId w:val="28"/>
        </w:numPr>
        <w:tabs>
          <w:tab w:val="clear" w:pos="1701"/>
        </w:tabs>
        <w:spacing w:before="0"/>
        <w:ind w:left="709"/>
        <w:rPr>
          <w:rFonts w:cs="Tahoma"/>
        </w:rPr>
      </w:pPr>
      <w:r w:rsidRPr="00874D02">
        <w:rPr>
          <w:rFonts w:cs="Tahoma"/>
          <w:b/>
        </w:rPr>
        <w:t>Légutak védelme:</w:t>
      </w:r>
      <w:r w:rsidRPr="00874D02">
        <w:rPr>
          <w:rFonts w:cs="Tahoma"/>
        </w:rPr>
        <w:t xml:space="preserve"> nagy felporzás esetén porvédő (P2 szűrőbetéttel ellátott) használata ajánlott. </w:t>
      </w:r>
    </w:p>
    <w:p w:rsidR="00A53D1F" w:rsidRDefault="00A53D1F" w:rsidP="00874D02">
      <w:pPr>
        <w:pStyle w:val="BodyTextIndent"/>
        <w:numPr>
          <w:ilvl w:val="0"/>
          <w:numId w:val="28"/>
        </w:numPr>
        <w:tabs>
          <w:tab w:val="clear" w:pos="1701"/>
        </w:tabs>
        <w:spacing w:before="0"/>
        <w:rPr>
          <w:rFonts w:cs="Tahoma"/>
        </w:rPr>
      </w:pPr>
      <w:r w:rsidRPr="00DF6D08">
        <w:rPr>
          <w:rFonts w:cs="Tahoma"/>
          <w:b/>
        </w:rPr>
        <w:t>Kézvédelem:</w:t>
      </w:r>
      <w:r w:rsidRPr="00DF6D08">
        <w:rPr>
          <w:rFonts w:cs="Tahoma"/>
        </w:rPr>
        <w:t xml:space="preserve"> </w:t>
      </w:r>
      <w:r>
        <w:rPr>
          <w:rFonts w:cs="Tahoma"/>
        </w:rPr>
        <w:t>tartó érintkezés elkerülésére védőkesztyűt (gumi) használjunk.</w:t>
      </w:r>
    </w:p>
    <w:p w:rsidR="00A53D1F" w:rsidRPr="00874D02" w:rsidRDefault="00A53D1F" w:rsidP="00874D02">
      <w:pPr>
        <w:pStyle w:val="BodyTextIndent"/>
        <w:numPr>
          <w:ilvl w:val="0"/>
          <w:numId w:val="28"/>
        </w:numPr>
        <w:tabs>
          <w:tab w:val="clear" w:pos="1701"/>
        </w:tabs>
        <w:spacing w:before="0"/>
        <w:ind w:left="709"/>
        <w:rPr>
          <w:rFonts w:cs="Tahoma"/>
          <w:b/>
        </w:rPr>
      </w:pPr>
      <w:r w:rsidRPr="00874D02">
        <w:rPr>
          <w:rFonts w:cs="Tahoma"/>
          <w:b/>
        </w:rPr>
        <w:t xml:space="preserve">Szemvédelem: </w:t>
      </w:r>
      <w:r w:rsidRPr="00874D02">
        <w:rPr>
          <w:rFonts w:cs="Tahoma"/>
        </w:rPr>
        <w:t>nagy mennyiségek kezeléseskor, porképződés, porfelhalmozódás esetén szorosan záródó védőszemüveg/védőálarc használata ajánlott</w:t>
      </w:r>
      <w:r>
        <w:rPr>
          <w:rFonts w:cs="Tahoma"/>
        </w:rPr>
        <w:t>.</w:t>
      </w:r>
    </w:p>
    <w:p w:rsidR="00A53D1F" w:rsidRPr="00874D02" w:rsidRDefault="00A53D1F" w:rsidP="00874D02">
      <w:pPr>
        <w:pStyle w:val="BodyTextIndent"/>
        <w:numPr>
          <w:ilvl w:val="0"/>
          <w:numId w:val="28"/>
        </w:numPr>
        <w:tabs>
          <w:tab w:val="clear" w:pos="1701"/>
        </w:tabs>
        <w:spacing w:before="0"/>
        <w:ind w:left="709"/>
        <w:rPr>
          <w:rFonts w:cs="Tahoma"/>
        </w:rPr>
      </w:pPr>
      <w:r w:rsidRPr="00874D02">
        <w:rPr>
          <w:rFonts w:cs="Tahoma"/>
          <w:b/>
        </w:rPr>
        <w:t xml:space="preserve">Bőrvédelem: </w:t>
      </w:r>
      <w:r w:rsidRPr="00874D02">
        <w:rPr>
          <w:rFonts w:cs="Tahoma"/>
        </w:rPr>
        <w:t>munkaruha viselése ajánlott. Kerülni kell az anyaggal történő expozíciót.</w:t>
      </w:r>
    </w:p>
    <w:p w:rsidR="00A53D1F" w:rsidRPr="000376BB" w:rsidRDefault="00A53D1F" w:rsidP="00874D02">
      <w:pPr>
        <w:pStyle w:val="BodyTextIndent"/>
        <w:tabs>
          <w:tab w:val="clear" w:pos="1701"/>
        </w:tabs>
        <w:spacing w:before="80"/>
        <w:ind w:left="0"/>
        <w:outlineLvl w:val="0"/>
      </w:pPr>
      <w:r>
        <w:rPr>
          <w:rFonts w:cs="Tahoma"/>
          <w:b/>
        </w:rPr>
        <w:t xml:space="preserve">8.3.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A53D1F" w:rsidRDefault="00A53D1F"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A53D1F" w:rsidRDefault="00A53D1F"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szilárd</w:t>
      </w:r>
    </w:p>
    <w:p w:rsidR="00A53D1F" w:rsidRDefault="00A53D1F"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por</w:t>
      </w:r>
    </w:p>
    <w:p w:rsidR="00A53D1F" w:rsidRDefault="00A53D1F"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színes szemcsékkel</w:t>
      </w:r>
    </w:p>
    <w:p w:rsidR="00A53D1F" w:rsidRDefault="00A53D1F"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A53D1F" w:rsidRPr="00DE2E56" w:rsidRDefault="00A53D1F"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53D1F" w:rsidRDefault="00A53D1F"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9,5 – 11,5 (10 g/l oldat, 20°C-on)</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Olvadáspont:</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Forráspont:</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nincs</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Relatív sűrűség:</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53D1F" w:rsidRDefault="00A53D1F"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nem releváns</w:t>
      </w:r>
    </w:p>
    <w:p w:rsidR="00A53D1F" w:rsidRDefault="00A53D1F"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A53D1F" w:rsidRDefault="00A53D1F"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A53D1F" w:rsidRDefault="00A53D1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A53D1F" w:rsidRPr="00530275" w:rsidRDefault="00A53D1F"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A53D1F" w:rsidRPr="00530275" w:rsidRDefault="00A53D1F"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A53D1F" w:rsidRPr="00D80FB5" w:rsidRDefault="00A53D1F"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erős savak, oxidálószerek.</w:t>
      </w:r>
    </w:p>
    <w:p w:rsidR="00A53D1F" w:rsidRDefault="00A53D1F"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A20AF1">
        <w:rPr>
          <w:rFonts w:ascii="Tahoma" w:hAnsi="Tahoma" w:cs="Tahoma"/>
          <w:snapToGrid w:val="0"/>
        </w:rPr>
        <w:t>extrém hőhatás</w:t>
      </w:r>
      <w:r>
        <w:rPr>
          <w:rFonts w:ascii="Tahoma" w:hAnsi="Tahoma" w:cs="Tahoma"/>
          <w:snapToGrid w:val="0"/>
        </w:rPr>
        <w:t>. Nedvesség kerülendő a tárolás során.</w:t>
      </w:r>
    </w:p>
    <w:p w:rsidR="00A53D1F" w:rsidRDefault="00A53D1F"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A53D1F" w:rsidRPr="00530275" w:rsidRDefault="00A53D1F"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A53D1F" w:rsidRPr="00F640E1" w:rsidRDefault="00A53D1F" w:rsidP="00FD4F82">
      <w:pPr>
        <w:pStyle w:val="BodyTextIndent"/>
        <w:ind w:left="0"/>
      </w:pPr>
      <w:r w:rsidRPr="006F495B">
        <w:rPr>
          <w:b/>
        </w:rPr>
        <w:t>11.1. Toxi</w:t>
      </w:r>
      <w:r>
        <w:rPr>
          <w:b/>
        </w:rPr>
        <w:t>kológiai hatásokra vonatkozó információk</w:t>
      </w:r>
      <w:r w:rsidRPr="006F495B">
        <w:rPr>
          <w:b/>
        </w:rPr>
        <w:t>:</w:t>
      </w:r>
      <w:r>
        <w:rPr>
          <w:b/>
        </w:rPr>
        <w:t xml:space="preserve"> </w:t>
      </w:r>
      <w:r w:rsidRPr="00F640E1">
        <w:t>célzott akut toxicitási viz</w:t>
      </w:r>
      <w:r>
        <w:t>s</w:t>
      </w:r>
      <w:r w:rsidRPr="00F640E1">
        <w:t>gálatokat nem végzetek.</w:t>
      </w:r>
    </w:p>
    <w:p w:rsidR="00A53D1F" w:rsidRDefault="00A53D1F" w:rsidP="00FD4F82">
      <w:pPr>
        <w:pStyle w:val="BodyTextIndent"/>
        <w:ind w:left="0"/>
        <w:rPr>
          <w:b/>
        </w:rPr>
      </w:pPr>
      <w:r>
        <w:rPr>
          <w:b/>
        </w:rPr>
        <w:t xml:space="preserve">Primer irritációs hatások: Bőr: </w:t>
      </w:r>
      <w:r w:rsidRPr="00FD4F82">
        <w:t xml:space="preserve">nem irritál; </w:t>
      </w:r>
      <w:r>
        <w:rPr>
          <w:b/>
        </w:rPr>
        <w:t xml:space="preserve">Szem: </w:t>
      </w:r>
      <w:r w:rsidRPr="00FD4F82">
        <w:t xml:space="preserve">nem irritál. </w:t>
      </w:r>
    </w:p>
    <w:p w:rsidR="00A53D1F" w:rsidRDefault="00A53D1F" w:rsidP="00FD4F82">
      <w:pPr>
        <w:pStyle w:val="BodyTextIndent"/>
        <w:ind w:left="0"/>
        <w:rPr>
          <w:b/>
        </w:rPr>
      </w:pPr>
      <w:r>
        <w:rPr>
          <w:b/>
        </w:rPr>
        <w:t>Szenzibilizáció:</w:t>
      </w:r>
      <w:r w:rsidRPr="00FD4F82">
        <w:t xml:space="preserve"> szenzibilizáló hatás nem ismert.</w:t>
      </w:r>
    </w:p>
    <w:p w:rsidR="00A53D1F" w:rsidRDefault="00A53D1F" w:rsidP="00FD4F82">
      <w:pPr>
        <w:pStyle w:val="BodyTextIndent"/>
        <w:ind w:left="0"/>
      </w:pPr>
      <w:r>
        <w:rPr>
          <w:b/>
        </w:rPr>
        <w:t xml:space="preserve">További toxikológiai információ: </w:t>
      </w:r>
      <w:r w:rsidRPr="00FD4F82">
        <w:t>ha a terméket előírás- és rendeletésszerűen használják, akkor a rendelkezésükre álló információk és tapasztalatok szerint egészségkárosító hatás</w:t>
      </w:r>
      <w:r>
        <w:t xml:space="preserve"> </w:t>
      </w:r>
      <w:r w:rsidRPr="00FD4F82">
        <w:t>veszélyének kockázatával nem kell számolni.</w:t>
      </w:r>
      <w:r>
        <w:t xml:space="preserve"> </w:t>
      </w:r>
    </w:p>
    <w:p w:rsidR="00A53D1F" w:rsidRDefault="00A53D1F" w:rsidP="00FD4F82">
      <w:pPr>
        <w:pStyle w:val="BodyTextIndent"/>
        <w:ind w:left="0"/>
      </w:pPr>
      <w:r w:rsidRPr="00FD4F82">
        <w:rPr>
          <w:b/>
        </w:rPr>
        <w:t xml:space="preserve">Toxikokinetika, metabolizmus, eloszlás: </w:t>
      </w:r>
      <w:r>
        <w:t>nem ismert.</w:t>
      </w:r>
    </w:p>
    <w:p w:rsidR="00A53D1F" w:rsidRDefault="00A53D1F" w:rsidP="00FD4F82">
      <w:pPr>
        <w:pStyle w:val="BodyTextIndent"/>
        <w:spacing w:before="20"/>
        <w:ind w:left="0"/>
      </w:pPr>
      <w:r w:rsidRPr="00FD4F82">
        <w:rPr>
          <w:b/>
        </w:rPr>
        <w:t xml:space="preserve">Akut hatások (akut toxicitás, irritáció, marás): </w:t>
      </w:r>
      <w:r>
        <w:t>nem ismert.</w:t>
      </w:r>
    </w:p>
    <w:p w:rsidR="00A53D1F" w:rsidRDefault="00A53D1F" w:rsidP="00FD4F82">
      <w:pPr>
        <w:pStyle w:val="BodyTextIndent"/>
        <w:spacing w:before="20"/>
        <w:ind w:left="0"/>
      </w:pPr>
      <w:r w:rsidRPr="00FD4F82">
        <w:rPr>
          <w:b/>
        </w:rPr>
        <w:t>Szenzibilizáció:</w:t>
      </w:r>
      <w:r>
        <w:t xml:space="preserve"> nem ismert.</w:t>
      </w:r>
    </w:p>
    <w:p w:rsidR="00A53D1F" w:rsidRDefault="00A53D1F" w:rsidP="00FD4F82">
      <w:pPr>
        <w:pStyle w:val="BodyTextIndent"/>
        <w:spacing w:before="20"/>
        <w:ind w:left="0"/>
      </w:pPr>
      <w:r w:rsidRPr="00FD4F82">
        <w:rPr>
          <w:b/>
        </w:rPr>
        <w:t xml:space="preserve">Ismételt dózisú toxicitás: </w:t>
      </w:r>
      <w:r>
        <w:t>nem ismert.</w:t>
      </w:r>
    </w:p>
    <w:p w:rsidR="00A53D1F" w:rsidRDefault="00A53D1F" w:rsidP="00FD4F82">
      <w:pPr>
        <w:pStyle w:val="BodyTextIndent"/>
        <w:spacing w:before="20"/>
        <w:ind w:left="0"/>
      </w:pPr>
      <w:r w:rsidRPr="00FD4F82">
        <w:rPr>
          <w:b/>
        </w:rPr>
        <w:t>CMR hatások (rákkeltő, mutagén, reprodukciót károsító):</w:t>
      </w:r>
      <w:r>
        <w:t xml:space="preserve"> nem ismert.</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A53D1F" w:rsidRPr="00005E8E" w:rsidRDefault="00A53D1F" w:rsidP="00FD4F82">
      <w:pPr>
        <w:pStyle w:val="BodyTextIndent"/>
        <w:spacing w:before="0"/>
        <w:ind w:left="0"/>
        <w:rPr>
          <w:rFonts w:cs="Tahoma"/>
        </w:rPr>
      </w:pPr>
      <w:r w:rsidRPr="00FE60D4">
        <w:rPr>
          <w:rFonts w:cs="Tahoma"/>
          <w:b/>
          <w:bCs/>
        </w:rPr>
        <w:t>12.1</w:t>
      </w:r>
      <w:r>
        <w:rPr>
          <w:rFonts w:cs="Tahoma"/>
        </w:rPr>
        <w:t xml:space="preserve">. </w:t>
      </w:r>
      <w:r w:rsidRPr="00087B12">
        <w:rPr>
          <w:b/>
        </w:rPr>
        <w:t xml:space="preserve">Az </w:t>
      </w:r>
      <w:r>
        <w:rPr>
          <w:b/>
        </w:rPr>
        <w:t>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K</w:t>
      </w:r>
      <w:r w:rsidRPr="00005E8E">
        <w:rPr>
          <w:rFonts w:cs="Tahoma"/>
        </w:rPr>
        <w:t>örnyezeti hatás a pH-eltolódás miatt valószínűsíthető, de ez a kockázat az ökoszisztémák pufferkapacitása, természetes pH-ingadozások, stb. következtében elfogadható.</w:t>
      </w:r>
    </w:p>
    <w:p w:rsidR="00A53D1F" w:rsidRDefault="00A53D1F" w:rsidP="000F0E73">
      <w:pPr>
        <w:pStyle w:val="BodyTextIndent2"/>
        <w:tabs>
          <w:tab w:val="left" w:pos="1276"/>
        </w:tabs>
        <w:spacing w:before="6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A53D1F" w:rsidRDefault="00A53D1F"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A53D1F" w:rsidRDefault="00A53D1F"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A53D1F" w:rsidRDefault="00A53D1F" w:rsidP="000F0E73">
      <w:pPr>
        <w:pStyle w:val="BodyTextIndent2"/>
        <w:spacing w:before="60"/>
        <w:ind w:left="0"/>
      </w:pPr>
      <w:r w:rsidRPr="0083583D">
        <w:rPr>
          <w:b/>
          <w:bCs/>
        </w:rPr>
        <w:t>12.5. A PBT és vPvB értékelés:</w:t>
      </w:r>
      <w:r>
        <w:t xml:space="preserve"> </w:t>
      </w:r>
      <w:r>
        <w:rPr>
          <w:rFonts w:cs="Tahoma"/>
        </w:rPr>
        <w:t>nem alkalmazható.</w:t>
      </w:r>
    </w:p>
    <w:p w:rsidR="00A53D1F" w:rsidRPr="001A71E5" w:rsidRDefault="00A53D1F"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A53D1F" w:rsidRDefault="00A53D1F"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A53D1F" w:rsidRDefault="00A53D1F" w:rsidP="0021620D">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A53D1F" w:rsidRPr="00797D23" w:rsidRDefault="00A53D1F"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A53D1F" w:rsidRPr="00E61839" w:rsidRDefault="00A53D1F" w:rsidP="0021620D">
      <w:pPr>
        <w:tabs>
          <w:tab w:val="left" w:pos="142"/>
          <w:tab w:val="left" w:pos="993"/>
          <w:tab w:val="left" w:pos="1701"/>
        </w:tabs>
        <w:jc w:val="both"/>
        <w:rPr>
          <w:rFonts w:ascii="Tahoma" w:hAnsi="Tahoma" w:cs="Tahoma"/>
        </w:rPr>
      </w:pPr>
      <w:r w:rsidRPr="00E61839">
        <w:rPr>
          <w:rFonts w:ascii="Tahoma" w:hAnsi="Tahoma" w:cs="Tahoma"/>
        </w:rPr>
        <w:t>20 01 29*</w:t>
      </w:r>
      <w:r w:rsidRPr="00E61839">
        <w:rPr>
          <w:rFonts w:ascii="Tahoma" w:hAnsi="Tahoma" w:cs="Tahoma"/>
        </w:rPr>
        <w:tab/>
        <w:t>veszélyes anyagokat tartalmazó mosószer</w:t>
      </w:r>
    </w:p>
    <w:p w:rsidR="00A53D1F" w:rsidRPr="001F6E55" w:rsidRDefault="00A53D1F" w:rsidP="0021620D">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A53D1F" w:rsidRPr="001F6E55" w:rsidRDefault="00A53D1F" w:rsidP="0021620D">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Pr>
          <w:rFonts w:ascii="Tahoma" w:hAnsi="Tahoma" w:cs="Tahoma"/>
          <w:snapToGrid w:val="0"/>
        </w:rPr>
        <w:t xml:space="preserve"> 01</w:t>
      </w:r>
      <w:r w:rsidRPr="001F6E55">
        <w:rPr>
          <w:rFonts w:ascii="Tahoma" w:hAnsi="Tahoma" w:cs="Tahoma"/>
          <w:snapToGrid w:val="0"/>
        </w:rPr>
        <w:tab/>
      </w:r>
      <w:r>
        <w:rPr>
          <w:rFonts w:ascii="Tahoma" w:hAnsi="Tahoma" w:cs="Tahoma"/>
          <w:snapToGrid w:val="0"/>
        </w:rPr>
        <w:t xml:space="preserve">papír és karton </w:t>
      </w:r>
      <w:r w:rsidRPr="001F6E55">
        <w:rPr>
          <w:rFonts w:ascii="Tahoma" w:hAnsi="Tahoma" w:cs="Tahoma"/>
          <w:snapToGrid w:val="0"/>
        </w:rPr>
        <w:t xml:space="preserve">csomagolási hulladék </w:t>
      </w:r>
    </w:p>
    <w:p w:rsidR="00A53D1F" w:rsidRPr="001F6E55" w:rsidRDefault="00A53D1F"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53D1F" w:rsidRDefault="00A53D1F"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A53D1F" w:rsidRDefault="00A53D1F"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A53D1F" w:rsidRPr="007E27A7" w:rsidRDefault="00A53D1F"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A53D1F" w:rsidRDefault="00A53D1F" w:rsidP="008E689F">
      <w:pPr>
        <w:pStyle w:val="BodyTextIndent"/>
        <w:ind w:left="0"/>
        <w:rPr>
          <w:b/>
        </w:rPr>
      </w:pPr>
      <w:r>
        <w:rPr>
          <w:b/>
        </w:rPr>
        <w:t>15.1. A keverékkel kapcsolatos biztonsági, egészségügyi és környezetvédelmi előírások/jogszabályok</w:t>
      </w:r>
    </w:p>
    <w:p w:rsidR="00A53D1F" w:rsidRDefault="00A53D1F" w:rsidP="007E27A7">
      <w:pPr>
        <w:pStyle w:val="BodyTextIndent"/>
        <w:keepNext/>
        <w:widowControl w:val="0"/>
        <w:spacing w:before="80"/>
        <w:ind w:left="0"/>
        <w:rPr>
          <w:b/>
        </w:rPr>
      </w:pPr>
      <w:r>
        <w:rPr>
          <w:b/>
        </w:rPr>
        <w:t>Vonatkozó közösségi joganyagok</w:t>
      </w:r>
    </w:p>
    <w:p w:rsidR="00A53D1F" w:rsidRPr="00A229DB" w:rsidRDefault="00A53D1F"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A53D1F" w:rsidRPr="00A229DB" w:rsidRDefault="00A53D1F" w:rsidP="009F1846">
      <w:pPr>
        <w:pStyle w:val="BodyTextIndent"/>
        <w:spacing w:before="0"/>
        <w:ind w:left="0"/>
      </w:pPr>
      <w:r>
        <w:t>Tisztítószer-rendelet: 648/2004/EK és módosításai</w:t>
      </w:r>
    </w:p>
    <w:p w:rsidR="00A53D1F" w:rsidRDefault="00A53D1F" w:rsidP="0021620D">
      <w:pPr>
        <w:pStyle w:val="BodyTextIndent"/>
        <w:spacing w:before="0"/>
        <w:ind w:left="0"/>
      </w:pPr>
      <w:r w:rsidRPr="00A229DB">
        <w:t xml:space="preserve">DSD és DPD-irányelv: 67/548/EGK és 1999/45/EK és módosításai </w:t>
      </w:r>
    </w:p>
    <w:p w:rsidR="00A53D1F" w:rsidRPr="008D4C21" w:rsidRDefault="00A53D1F" w:rsidP="007E27A7">
      <w:pPr>
        <w:pStyle w:val="BodyTextIndent"/>
        <w:keepNext/>
        <w:widowControl w:val="0"/>
        <w:spacing w:before="80"/>
        <w:ind w:left="0"/>
        <w:rPr>
          <w:rFonts w:cs="Tahoma"/>
          <w:b/>
        </w:rPr>
      </w:pPr>
      <w:r w:rsidRPr="008D4C21">
        <w:rPr>
          <w:rFonts w:cs="Tahoma"/>
          <w:b/>
        </w:rPr>
        <w:t>Vonatkozó nemzeti joganyagok</w:t>
      </w:r>
    </w:p>
    <w:p w:rsidR="00A53D1F" w:rsidRPr="00CA61B2" w:rsidRDefault="00A53D1F"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A53D1F" w:rsidRPr="008D4C21" w:rsidRDefault="00A53D1F"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A53D1F" w:rsidRPr="008D4C21" w:rsidRDefault="00A53D1F"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53D1F" w:rsidRPr="008D4C21" w:rsidRDefault="00A53D1F"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A53D1F" w:rsidRPr="008D4C21" w:rsidRDefault="00A53D1F"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A53D1F" w:rsidRPr="00CA61B2" w:rsidRDefault="00A53D1F"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A53D1F" w:rsidRDefault="00A53D1F"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A53D1F" w:rsidRDefault="00A53D1F"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A53D1F" w:rsidRDefault="00A53D1F"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A53D1F" w:rsidRDefault="00A53D1F" w:rsidP="009F1846">
      <w:pPr>
        <w:pStyle w:val="BodyTextIndent"/>
        <w:ind w:left="0"/>
      </w:pPr>
      <w:r>
        <w:rPr>
          <w:rFonts w:cs="Tahoma"/>
          <w:b/>
        </w:rPr>
        <w:t xml:space="preserve">16.1. </w:t>
      </w:r>
      <w:r w:rsidRPr="003C3065">
        <w:rPr>
          <w:rFonts w:cs="Tahoma"/>
          <w:b/>
        </w:rPr>
        <w:t xml:space="preserve">A biztonsági adatlap </w:t>
      </w:r>
      <w:r>
        <w:rPr>
          <w:rFonts w:cs="Tahoma"/>
          <w:b/>
        </w:rPr>
        <w:t xml:space="preserve">2. és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r>
        <w:rPr>
          <w:rFonts w:cs="Tahoma"/>
          <w:b/>
        </w:rPr>
        <w:t xml:space="preserve"> </w:t>
      </w:r>
      <w:r>
        <w:t xml:space="preserve">Xi: Irritatív, </w:t>
      </w:r>
      <w:r w:rsidRPr="00C13807">
        <w:t>R 36</w:t>
      </w:r>
      <w:r w:rsidRPr="00C13807">
        <w:tab/>
        <w:t>Szemizgató hatású</w:t>
      </w:r>
    </w:p>
    <w:p w:rsidR="00A53D1F" w:rsidRDefault="00A53D1F" w:rsidP="007E27A7">
      <w:pPr>
        <w:pStyle w:val="BodyTextIndent"/>
        <w:spacing w:before="80"/>
        <w:ind w:left="0"/>
      </w:pPr>
      <w:r>
        <w:rPr>
          <w:b/>
        </w:rPr>
        <w:t>A CLP v</w:t>
      </w:r>
      <w:r w:rsidRPr="00DB3428">
        <w:rPr>
          <w:b/>
        </w:rPr>
        <w:t>eszélyességi osztály rövidítései:</w:t>
      </w:r>
      <w:r w:rsidRPr="006305CA">
        <w:t xml:space="preserve"> </w:t>
      </w:r>
    </w:p>
    <w:p w:rsidR="00A53D1F" w:rsidRDefault="00A53D1F" w:rsidP="0021620D">
      <w:pPr>
        <w:pStyle w:val="BodyTextIndent"/>
        <w:spacing w:before="0"/>
        <w:ind w:left="0"/>
        <w:rPr>
          <w:rFonts w:cs="Tahoma"/>
        </w:rPr>
      </w:pPr>
      <w:r>
        <w:t>A</w:t>
      </w:r>
      <w:r w:rsidRPr="006305CA">
        <w:t xml:space="preserve"> rövidítések utáni számok</w:t>
      </w:r>
      <w:r>
        <w:t xml:space="preserve"> (1 – 4)</w:t>
      </w:r>
      <w:r w:rsidRPr="006305CA">
        <w:t xml:space="preserve"> az osztályon belüli kategóriát jelölik meg, a nagyobb számok kisebb veszélyt jelentenek: Eye Irrit.: szemirritáció</w:t>
      </w:r>
      <w:r>
        <w:t xml:space="preserve">, </w:t>
      </w:r>
      <w:r w:rsidRPr="00A66FE1">
        <w:rPr>
          <w:rFonts w:cs="Tahoma"/>
        </w:rPr>
        <w:t>H319</w:t>
      </w:r>
      <w:r>
        <w:rPr>
          <w:rFonts w:cs="Tahoma"/>
        </w:rPr>
        <w:t xml:space="preserve"> </w:t>
      </w:r>
      <w:r w:rsidRPr="00A66FE1">
        <w:rPr>
          <w:rFonts w:cs="Tahoma"/>
        </w:rPr>
        <w:t>Súlyos szemirritációt okoz</w:t>
      </w:r>
      <w:r>
        <w:rPr>
          <w:rFonts w:cs="Tahoma"/>
        </w:rPr>
        <w:t>.</w:t>
      </w:r>
    </w:p>
    <w:p w:rsidR="00A53D1F" w:rsidRPr="006553AB" w:rsidRDefault="00A53D1F"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 a biztonsági adatlap a 2015. február 26-án kiadott gyártói adatlap (7. verzió) fordításával készült 2015. április 12-én.</w:t>
      </w:r>
    </w:p>
    <w:sectPr w:rsidR="00A53D1F" w:rsidRPr="006553AB" w:rsidSect="008056B9">
      <w:headerReference w:type="default" r:id="rId9"/>
      <w:headerReference w:type="first" r:id="rId10"/>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1F" w:rsidRDefault="00A53D1F">
      <w:r>
        <w:separator/>
      </w:r>
    </w:p>
  </w:endnote>
  <w:endnote w:type="continuationSeparator" w:id="0">
    <w:p w:rsidR="00A53D1F" w:rsidRDefault="00A53D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1F" w:rsidRDefault="00A53D1F">
      <w:r>
        <w:separator/>
      </w:r>
    </w:p>
  </w:footnote>
  <w:footnote w:type="continuationSeparator" w:id="0">
    <w:p w:rsidR="00A53D1F" w:rsidRDefault="00A53D1F">
      <w:r>
        <w:continuationSeparator/>
      </w:r>
    </w:p>
  </w:footnote>
  <w:footnote w:id="1">
    <w:p w:rsidR="00A53D1F" w:rsidRDefault="00A53D1F"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A53D1F" w:rsidRDefault="00A53D1F"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A53D1F" w:rsidRDefault="00A53D1F"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A53D1F" w:rsidRDefault="00A53D1F" w:rsidP="00CA2702">
      <w:pPr>
        <w:pStyle w:val="Default"/>
        <w:tabs>
          <w:tab w:val="left" w:pos="851"/>
          <w:tab w:val="left" w:pos="2835"/>
        </w:tabs>
        <w:autoSpaceDE/>
        <w:autoSpaceDN/>
        <w:adjustRightInd/>
      </w:pPr>
      <w:r w:rsidRPr="000E1DD2">
        <w:rPr>
          <w:rStyle w:val="FootnoteReference"/>
          <w:rFonts w:cs="Tahoma"/>
          <w:sz w:val="16"/>
          <w:szCs w:val="16"/>
        </w:rPr>
        <w:footnoteRef/>
      </w:r>
      <w:r w:rsidRPr="000E1DD2">
        <w:rPr>
          <w:rFonts w:ascii="Tahoma" w:hAnsi="Tahoma" w:cs="Tahoma"/>
          <w:sz w:val="16"/>
          <w:szCs w:val="16"/>
        </w:rPr>
        <w:t xml:space="preserve"> DNEL - DERIVED NO EFFECT LEVEL (a származtatott hatásmentes humán-expozíció szintje)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1F" w:rsidRDefault="00A53D1F"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Just Mosópor</w:t>
    </w:r>
    <w:r>
      <w:rPr>
        <w:rFonts w:ascii="Tahoma" w:hAnsi="Tahoma" w:cs="Tahoma"/>
        <w:noProof/>
        <w:sz w:val="14"/>
        <w:szCs w:val="14"/>
      </w:rPr>
      <w:tab/>
    </w:r>
  </w:p>
  <w:p w:rsidR="00A53D1F" w:rsidRDefault="00A53D1F"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53D1F" w:rsidRDefault="00A53D1F"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április 12.</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1F" w:rsidRDefault="00A53D1F"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6"/>
  </w:num>
  <w:num w:numId="8">
    <w:abstractNumId w:val="11"/>
  </w:num>
  <w:num w:numId="9">
    <w:abstractNumId w:val="7"/>
  </w:num>
  <w:num w:numId="10">
    <w:abstractNumId w:val="21"/>
  </w:num>
  <w:num w:numId="11">
    <w:abstractNumId w:val="19"/>
  </w:num>
  <w:num w:numId="12">
    <w:abstractNumId w:val="22"/>
  </w:num>
  <w:num w:numId="13">
    <w:abstractNumId w:val="17"/>
  </w:num>
  <w:num w:numId="14">
    <w:abstractNumId w:val="3"/>
  </w:num>
  <w:num w:numId="15">
    <w:abstractNumId w:val="12"/>
  </w:num>
  <w:num w:numId="16">
    <w:abstractNumId w:val="6"/>
  </w:num>
  <w:num w:numId="17">
    <w:abstractNumId w:val="2"/>
  </w:num>
  <w:num w:numId="18">
    <w:abstractNumId w:val="15"/>
  </w:num>
  <w:num w:numId="19">
    <w:abstractNumId w:val="8"/>
  </w:num>
  <w:num w:numId="20">
    <w:abstractNumId w:val="14"/>
  </w:num>
  <w:num w:numId="21">
    <w:abstractNumId w:val="4"/>
  </w:num>
  <w:num w:numId="22">
    <w:abstractNumId w:val="20"/>
  </w:num>
  <w:num w:numId="23">
    <w:abstractNumId w:val="9"/>
  </w:num>
  <w:num w:numId="24">
    <w:abstractNumId w:val="23"/>
  </w:num>
  <w:num w:numId="25">
    <w:abstractNumId w:val="13"/>
  </w:num>
  <w:num w:numId="26">
    <w:abstractNumId w:val="1"/>
  </w:num>
  <w:num w:numId="27">
    <w:abstractNumId w:val="18"/>
  </w:num>
  <w:num w:numId="28">
    <w:abstractNumId w:val="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5E8E"/>
    <w:rsid w:val="00006A46"/>
    <w:rsid w:val="0000786A"/>
    <w:rsid w:val="00011871"/>
    <w:rsid w:val="00012C3A"/>
    <w:rsid w:val="0002079C"/>
    <w:rsid w:val="000267A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C1EB0"/>
    <w:rsid w:val="000C570C"/>
    <w:rsid w:val="000D0B10"/>
    <w:rsid w:val="000E1DD2"/>
    <w:rsid w:val="000E4A43"/>
    <w:rsid w:val="000E51C7"/>
    <w:rsid w:val="000F0E73"/>
    <w:rsid w:val="00100203"/>
    <w:rsid w:val="001007CD"/>
    <w:rsid w:val="00101AF6"/>
    <w:rsid w:val="00102AFA"/>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7FE"/>
    <w:rsid w:val="001D1A25"/>
    <w:rsid w:val="001E4463"/>
    <w:rsid w:val="001E47CE"/>
    <w:rsid w:val="001E5BCD"/>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B06F6"/>
    <w:rsid w:val="002B5B34"/>
    <w:rsid w:val="002B6409"/>
    <w:rsid w:val="002B6BE7"/>
    <w:rsid w:val="002C30D4"/>
    <w:rsid w:val="002C56A6"/>
    <w:rsid w:val="002C6EA5"/>
    <w:rsid w:val="002D3324"/>
    <w:rsid w:val="002E11E0"/>
    <w:rsid w:val="002E743C"/>
    <w:rsid w:val="002E7A9F"/>
    <w:rsid w:val="00301D81"/>
    <w:rsid w:val="0031732B"/>
    <w:rsid w:val="00322095"/>
    <w:rsid w:val="00323E34"/>
    <w:rsid w:val="0033006D"/>
    <w:rsid w:val="00332A1C"/>
    <w:rsid w:val="00332AD1"/>
    <w:rsid w:val="00333685"/>
    <w:rsid w:val="00334B0F"/>
    <w:rsid w:val="0034100E"/>
    <w:rsid w:val="00351516"/>
    <w:rsid w:val="00356E1F"/>
    <w:rsid w:val="003606C6"/>
    <w:rsid w:val="003628FA"/>
    <w:rsid w:val="00376AB8"/>
    <w:rsid w:val="00390CC2"/>
    <w:rsid w:val="00395922"/>
    <w:rsid w:val="00395CC2"/>
    <w:rsid w:val="00397D60"/>
    <w:rsid w:val="003A0C82"/>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5D4"/>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67AA"/>
    <w:rsid w:val="00562764"/>
    <w:rsid w:val="0056484A"/>
    <w:rsid w:val="00570043"/>
    <w:rsid w:val="005818AB"/>
    <w:rsid w:val="0058246F"/>
    <w:rsid w:val="005840A9"/>
    <w:rsid w:val="005906FB"/>
    <w:rsid w:val="00590BE6"/>
    <w:rsid w:val="0059673E"/>
    <w:rsid w:val="00596E7B"/>
    <w:rsid w:val="005A11A7"/>
    <w:rsid w:val="005A1937"/>
    <w:rsid w:val="005A453F"/>
    <w:rsid w:val="005C358B"/>
    <w:rsid w:val="005C3AF3"/>
    <w:rsid w:val="005C3B1E"/>
    <w:rsid w:val="005C50EE"/>
    <w:rsid w:val="005E6B01"/>
    <w:rsid w:val="005F482D"/>
    <w:rsid w:val="00603B9F"/>
    <w:rsid w:val="00611589"/>
    <w:rsid w:val="00615561"/>
    <w:rsid w:val="00616803"/>
    <w:rsid w:val="0062027F"/>
    <w:rsid w:val="00623045"/>
    <w:rsid w:val="00626A8E"/>
    <w:rsid w:val="006305CA"/>
    <w:rsid w:val="00630FE0"/>
    <w:rsid w:val="00632BAE"/>
    <w:rsid w:val="00641A4C"/>
    <w:rsid w:val="00642786"/>
    <w:rsid w:val="00653031"/>
    <w:rsid w:val="006553AB"/>
    <w:rsid w:val="006608A9"/>
    <w:rsid w:val="006608CB"/>
    <w:rsid w:val="006657B2"/>
    <w:rsid w:val="006660B2"/>
    <w:rsid w:val="00670F3E"/>
    <w:rsid w:val="0067132A"/>
    <w:rsid w:val="00675D5C"/>
    <w:rsid w:val="00681260"/>
    <w:rsid w:val="00682C9C"/>
    <w:rsid w:val="00683C91"/>
    <w:rsid w:val="0068433E"/>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D7CCC"/>
    <w:rsid w:val="007E27A7"/>
    <w:rsid w:val="007E40C9"/>
    <w:rsid w:val="007E4261"/>
    <w:rsid w:val="007E705C"/>
    <w:rsid w:val="007F0B8B"/>
    <w:rsid w:val="007F4D79"/>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408D8"/>
    <w:rsid w:val="009411E5"/>
    <w:rsid w:val="009415F4"/>
    <w:rsid w:val="00947868"/>
    <w:rsid w:val="00954020"/>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F1846"/>
    <w:rsid w:val="00A0044A"/>
    <w:rsid w:val="00A018D0"/>
    <w:rsid w:val="00A111E6"/>
    <w:rsid w:val="00A15CE7"/>
    <w:rsid w:val="00A20128"/>
    <w:rsid w:val="00A20AF1"/>
    <w:rsid w:val="00A229DB"/>
    <w:rsid w:val="00A254C1"/>
    <w:rsid w:val="00A25544"/>
    <w:rsid w:val="00A31F9B"/>
    <w:rsid w:val="00A401CB"/>
    <w:rsid w:val="00A416E1"/>
    <w:rsid w:val="00A41880"/>
    <w:rsid w:val="00A45E7A"/>
    <w:rsid w:val="00A46CA8"/>
    <w:rsid w:val="00A51C5B"/>
    <w:rsid w:val="00A53D17"/>
    <w:rsid w:val="00A53D1F"/>
    <w:rsid w:val="00A54F27"/>
    <w:rsid w:val="00A57DB9"/>
    <w:rsid w:val="00A64DCE"/>
    <w:rsid w:val="00A66495"/>
    <w:rsid w:val="00A66FE1"/>
    <w:rsid w:val="00A70C8D"/>
    <w:rsid w:val="00A734DB"/>
    <w:rsid w:val="00A7737B"/>
    <w:rsid w:val="00A775F0"/>
    <w:rsid w:val="00A8502F"/>
    <w:rsid w:val="00A85BE1"/>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34DF"/>
    <w:rsid w:val="00B3376E"/>
    <w:rsid w:val="00B44C12"/>
    <w:rsid w:val="00B505C3"/>
    <w:rsid w:val="00B51D7D"/>
    <w:rsid w:val="00B56BFA"/>
    <w:rsid w:val="00B63F21"/>
    <w:rsid w:val="00B7051B"/>
    <w:rsid w:val="00B70A1E"/>
    <w:rsid w:val="00B72056"/>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4E08"/>
    <w:rsid w:val="00C110D4"/>
    <w:rsid w:val="00C11815"/>
    <w:rsid w:val="00C124FE"/>
    <w:rsid w:val="00C13807"/>
    <w:rsid w:val="00C21451"/>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84C27"/>
    <w:rsid w:val="00C86C3C"/>
    <w:rsid w:val="00C934BE"/>
    <w:rsid w:val="00CA2702"/>
    <w:rsid w:val="00CA4144"/>
    <w:rsid w:val="00CA5BA2"/>
    <w:rsid w:val="00CA61B2"/>
    <w:rsid w:val="00CB0228"/>
    <w:rsid w:val="00CB1331"/>
    <w:rsid w:val="00CB20D4"/>
    <w:rsid w:val="00CC3606"/>
    <w:rsid w:val="00CE305A"/>
    <w:rsid w:val="00D00FB8"/>
    <w:rsid w:val="00D05604"/>
    <w:rsid w:val="00D06902"/>
    <w:rsid w:val="00D105BC"/>
    <w:rsid w:val="00D11AB8"/>
    <w:rsid w:val="00D11E73"/>
    <w:rsid w:val="00D12575"/>
    <w:rsid w:val="00D12E75"/>
    <w:rsid w:val="00D20C23"/>
    <w:rsid w:val="00D334C4"/>
    <w:rsid w:val="00D3670F"/>
    <w:rsid w:val="00D37B02"/>
    <w:rsid w:val="00D42987"/>
    <w:rsid w:val="00D464D8"/>
    <w:rsid w:val="00D54A2D"/>
    <w:rsid w:val="00D6058E"/>
    <w:rsid w:val="00D615F3"/>
    <w:rsid w:val="00D67BE9"/>
    <w:rsid w:val="00D80FB5"/>
    <w:rsid w:val="00D84722"/>
    <w:rsid w:val="00D849A1"/>
    <w:rsid w:val="00D86E64"/>
    <w:rsid w:val="00D87FC1"/>
    <w:rsid w:val="00DA561D"/>
    <w:rsid w:val="00DB3428"/>
    <w:rsid w:val="00DB5F8A"/>
    <w:rsid w:val="00DB641D"/>
    <w:rsid w:val="00DC133E"/>
    <w:rsid w:val="00DD46D4"/>
    <w:rsid w:val="00DD5C0B"/>
    <w:rsid w:val="00DE2E56"/>
    <w:rsid w:val="00DE486D"/>
    <w:rsid w:val="00DE4DB5"/>
    <w:rsid w:val="00DE5CDE"/>
    <w:rsid w:val="00DF6D08"/>
    <w:rsid w:val="00E00766"/>
    <w:rsid w:val="00E00CCB"/>
    <w:rsid w:val="00E07B80"/>
    <w:rsid w:val="00E10416"/>
    <w:rsid w:val="00E146B2"/>
    <w:rsid w:val="00E21ECB"/>
    <w:rsid w:val="00E22B4C"/>
    <w:rsid w:val="00E315E8"/>
    <w:rsid w:val="00E3448A"/>
    <w:rsid w:val="00E42A31"/>
    <w:rsid w:val="00E43E30"/>
    <w:rsid w:val="00E47017"/>
    <w:rsid w:val="00E50F8F"/>
    <w:rsid w:val="00E54B17"/>
    <w:rsid w:val="00E56AF6"/>
    <w:rsid w:val="00E61839"/>
    <w:rsid w:val="00E65A3F"/>
    <w:rsid w:val="00E65D49"/>
    <w:rsid w:val="00E67F4C"/>
    <w:rsid w:val="00E80838"/>
    <w:rsid w:val="00E81507"/>
    <w:rsid w:val="00E84E02"/>
    <w:rsid w:val="00E8777E"/>
    <w:rsid w:val="00E878DA"/>
    <w:rsid w:val="00E934D1"/>
    <w:rsid w:val="00E93F74"/>
    <w:rsid w:val="00EA76D7"/>
    <w:rsid w:val="00EA7B2A"/>
    <w:rsid w:val="00EC0BAC"/>
    <w:rsid w:val="00EC65D8"/>
    <w:rsid w:val="00ED050C"/>
    <w:rsid w:val="00ED5636"/>
    <w:rsid w:val="00EE0155"/>
    <w:rsid w:val="00EE3346"/>
    <w:rsid w:val="00EE5B9C"/>
    <w:rsid w:val="00EF08D9"/>
    <w:rsid w:val="00EF0C04"/>
    <w:rsid w:val="00EF2D01"/>
    <w:rsid w:val="00F00132"/>
    <w:rsid w:val="00F01545"/>
    <w:rsid w:val="00F12E11"/>
    <w:rsid w:val="00F13D0A"/>
    <w:rsid w:val="00F152B5"/>
    <w:rsid w:val="00F2000B"/>
    <w:rsid w:val="00F20053"/>
    <w:rsid w:val="00F32341"/>
    <w:rsid w:val="00F34282"/>
    <w:rsid w:val="00F4323B"/>
    <w:rsid w:val="00F44577"/>
    <w:rsid w:val="00F57C8E"/>
    <w:rsid w:val="00F60EC3"/>
    <w:rsid w:val="00F61E74"/>
    <w:rsid w:val="00F6242D"/>
    <w:rsid w:val="00F640E1"/>
    <w:rsid w:val="00F73C6D"/>
    <w:rsid w:val="00F9588C"/>
    <w:rsid w:val="00FB0B78"/>
    <w:rsid w:val="00FB624F"/>
    <w:rsid w:val="00FC45D1"/>
    <w:rsid w:val="00FC5EDD"/>
    <w:rsid w:val="00FD4F82"/>
    <w:rsid w:val="00FD7BF2"/>
    <w:rsid w:val="00FD7D82"/>
    <w:rsid w:val="00FE2CC0"/>
    <w:rsid w:val="00FE53CE"/>
    <w:rsid w:val="00FE60D4"/>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1849</Words>
  <Characters>12765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2</cp:revision>
  <cp:lastPrinted>2013-10-29T20:06:00Z</cp:lastPrinted>
  <dcterms:created xsi:type="dcterms:W3CDTF">2015-04-13T14:37:00Z</dcterms:created>
  <dcterms:modified xsi:type="dcterms:W3CDTF">2015-04-13T14:37:00Z</dcterms:modified>
</cp:coreProperties>
</file>